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4E5" w:rsidRDefault="00E16BAA">
      <w:pPr>
        <w:pStyle w:val="Standard"/>
        <w:spacing w:after="0" w:line="288" w:lineRule="auto"/>
        <w:jc w:val="both"/>
      </w:pPr>
      <w:bookmarkStart w:id="0" w:name="_GoBack"/>
      <w:bookmarkEnd w:id="0"/>
      <w:r>
        <w:rPr>
          <w:rFonts w:ascii="Tahoma" w:hAnsi="Tahoma" w:cs="Tahoma"/>
          <w:b/>
          <w:lang w:val="pl-PL"/>
        </w:rPr>
        <w:t>Nadle</w:t>
      </w:r>
      <w:r>
        <w:rPr>
          <w:rFonts w:ascii="Tahoma" w:hAnsi="Tahoma" w:cs="Tahoma"/>
          <w:b/>
        </w:rPr>
        <w:t>ž</w:t>
      </w:r>
      <w:r>
        <w:rPr>
          <w:rFonts w:ascii="Tahoma" w:hAnsi="Tahoma" w:cs="Tahoma"/>
          <w:b/>
          <w:lang w:val="pl-PL"/>
        </w:rPr>
        <w:t>an trgova</w:t>
      </w:r>
      <w:r>
        <w:rPr>
          <w:rFonts w:ascii="Tahoma" w:hAnsi="Tahoma" w:cs="Tahoma"/>
          <w:b/>
        </w:rPr>
        <w:t>č</w:t>
      </w:r>
      <w:r>
        <w:rPr>
          <w:rFonts w:ascii="Tahoma" w:hAnsi="Tahoma" w:cs="Tahoma"/>
          <w:b/>
          <w:lang w:val="pl-PL"/>
        </w:rPr>
        <w:t>ki sud</w:t>
      </w:r>
      <w:r>
        <w:rPr>
          <w:rFonts w:ascii="Tahoma" w:hAnsi="Tahoma" w:cs="Tahoma"/>
          <w:lang w:val="pl-PL"/>
        </w:rPr>
        <w:t xml:space="preserve">:     </w:t>
      </w:r>
      <w:r>
        <w:rPr>
          <w:rFonts w:ascii="Tahoma" w:hAnsi="Tahoma" w:cs="Tahoma"/>
          <w:b/>
        </w:rPr>
        <w:t>Trgovački sud u Varaždinu</w:t>
      </w:r>
    </w:p>
    <w:p w:rsidR="000D54E5" w:rsidRDefault="00E16BAA">
      <w:pPr>
        <w:pStyle w:val="Standard"/>
        <w:spacing w:after="0" w:line="288" w:lineRule="auto"/>
        <w:jc w:val="both"/>
      </w:pPr>
      <w:r>
        <w:rPr>
          <w:rFonts w:ascii="Tahoma" w:hAnsi="Tahoma" w:cs="Tahoma"/>
          <w:b/>
          <w:lang w:val="pl-PL"/>
        </w:rPr>
        <w:t>Poslovni broj spisa</w:t>
      </w:r>
      <w:r>
        <w:rPr>
          <w:rFonts w:ascii="Tahoma" w:hAnsi="Tahoma" w:cs="Tahoma"/>
          <w:lang w:val="pl-PL"/>
        </w:rPr>
        <w:t>:</w:t>
      </w:r>
      <w:r>
        <w:rPr>
          <w:rFonts w:ascii="Tahoma" w:hAnsi="Tahoma" w:cs="Tahoma"/>
          <w:lang w:val="pl-PL"/>
        </w:rPr>
        <w:tab/>
        <w:t xml:space="preserve">      </w:t>
      </w:r>
      <w:r>
        <w:rPr>
          <w:rFonts w:ascii="Tahoma" w:hAnsi="Tahoma" w:cs="Tahoma"/>
          <w:b/>
          <w:lang w:val="pl-PL"/>
        </w:rPr>
        <w:t>St-428/2016</w:t>
      </w:r>
    </w:p>
    <w:p w:rsidR="000D54E5" w:rsidRDefault="00E16BAA">
      <w:pPr>
        <w:pStyle w:val="Standard"/>
        <w:spacing w:after="0" w:line="288" w:lineRule="auto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 xml:space="preserve">Dužnik: </w:t>
      </w: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</w:r>
      <w:r>
        <w:rPr>
          <w:rFonts w:ascii="Tahoma" w:hAnsi="Tahoma" w:cs="Tahoma"/>
          <w:b/>
          <w:lang w:val="pl-PL"/>
        </w:rPr>
        <w:tab/>
        <w:t xml:space="preserve">     </w:t>
      </w:r>
      <w:bookmarkStart w:id="1" w:name="_Hlk485027454"/>
      <w:r>
        <w:rPr>
          <w:rFonts w:ascii="Tahoma" w:hAnsi="Tahoma" w:cs="Tahoma"/>
          <w:b/>
          <w:lang w:val="pl-PL"/>
        </w:rPr>
        <w:t xml:space="preserve">  VIG d.o.o. u stečaju </w:t>
      </w:r>
      <w:r>
        <w:rPr>
          <w:rFonts w:ascii="Tahoma" w:hAnsi="Tahoma" w:cs="Tahoma"/>
          <w:b/>
          <w:lang w:val="pl-PL"/>
        </w:rPr>
        <w:t xml:space="preserve">                                                                                                                                    </w:t>
      </w:r>
    </w:p>
    <w:p w:rsidR="000D54E5" w:rsidRDefault="00E16BAA">
      <w:pPr>
        <w:pStyle w:val="Standard"/>
        <w:spacing w:after="0" w:line="288" w:lineRule="auto"/>
        <w:ind w:left="2127" w:firstLine="709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 xml:space="preserve">       Pavleka Miškine 72, Strahoninec</w:t>
      </w:r>
    </w:p>
    <w:p w:rsidR="000D54E5" w:rsidRDefault="00E16BAA">
      <w:pPr>
        <w:pStyle w:val="Standard"/>
        <w:spacing w:after="0" w:line="288" w:lineRule="auto"/>
        <w:ind w:left="2127" w:firstLine="709"/>
        <w:rPr>
          <w:rFonts w:ascii="Tahoma" w:hAnsi="Tahoma" w:cs="Tahoma"/>
          <w:b/>
          <w:lang w:val="pl-PL"/>
        </w:rPr>
      </w:pPr>
      <w:r>
        <w:rPr>
          <w:rFonts w:ascii="Tahoma" w:hAnsi="Tahoma" w:cs="Tahoma"/>
          <w:b/>
          <w:lang w:val="pl-PL"/>
        </w:rPr>
        <w:t xml:space="preserve">       OIB: 86198632160, MBS: 070067832</w:t>
      </w:r>
    </w:p>
    <w:bookmarkEnd w:id="1"/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Rješenjem Trgovačkog suda u Varaždinu od 1</w:t>
      </w:r>
      <w:r>
        <w:rPr>
          <w:rFonts w:ascii="Tahoma" w:hAnsi="Tahoma" w:cs="Tahoma"/>
          <w:lang w:val="pl-PL"/>
        </w:rPr>
        <w:t xml:space="preserve">2. siječnja 2018. godine otvoren je stečajni postupak nad dužnikom VIG d.o.o. u likvidaciji, Strahoninec, P. Miškine 72, OIB:03622911587, MBS: 070067832. Prijedlog je podnijelo MF – Područni ured Sjeverna Hrvatska putem ŽDO Varaždin, nakon objave oglasa o </w:t>
      </w:r>
      <w:r>
        <w:rPr>
          <w:rFonts w:ascii="Tahoma" w:hAnsi="Tahoma" w:cs="Tahoma"/>
          <w:lang w:val="pl-PL"/>
        </w:rPr>
        <w:t>skraćenom stečajnom postupku po prijedlogu FINE.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Prije otvaranja stečajnog postupka dužnik je bio u likvidaciji što znači da je stečajni razlog nesposobnost za plaćanje iz članka 6. SZ-a nastupio tijekom trajanja tog postupka. Na dan 12.01.2018. blokada ž</w:t>
      </w:r>
      <w:r>
        <w:rPr>
          <w:rFonts w:ascii="Tahoma" w:hAnsi="Tahoma" w:cs="Tahoma"/>
          <w:lang w:val="pl-PL"/>
        </w:rPr>
        <w:t>iro računa iznosila je 1.740.836,08 kn i trajala je dulje od 60 dana.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Sukladno odredbi članka 227. Stečajnog zakona (NN.71/15), stečajni upravitelj daje prikaz tijeka stečajnog postupka, stanja stečajne mase i radnje koje će poduzeti u narednom razdoblju,</w:t>
      </w:r>
      <w:r>
        <w:rPr>
          <w:rFonts w:ascii="Tahoma" w:hAnsi="Tahoma" w:cs="Tahoma"/>
          <w:lang w:val="pl-PL"/>
        </w:rPr>
        <w:t xml:space="preserve"> sve kako slijedi.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0D54E5" w:rsidRDefault="000D54E5">
      <w:pPr>
        <w:pStyle w:val="Standard"/>
        <w:spacing w:after="0" w:line="288" w:lineRule="auto"/>
        <w:jc w:val="center"/>
        <w:rPr>
          <w:rFonts w:ascii="Tahoma" w:hAnsi="Tahoma" w:cs="Tahoma"/>
          <w:b/>
        </w:rPr>
      </w:pPr>
    </w:p>
    <w:p w:rsidR="000D54E5" w:rsidRDefault="00E16BAA">
      <w:pPr>
        <w:pStyle w:val="Standard"/>
        <w:spacing w:after="0" w:line="288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IZVJEŠĆE STEČAJNOGA UPRAVITELJA O GOSPODARSKOM POLOŽAJU STEČA</w:t>
      </w:r>
      <w:r>
        <w:rPr>
          <w:rFonts w:ascii="Tahoma" w:hAnsi="Tahoma" w:cs="Tahoma"/>
          <w:b/>
        </w:rPr>
        <w:t>J</w:t>
      </w:r>
      <w:r>
        <w:rPr>
          <w:rFonts w:ascii="Tahoma" w:hAnsi="Tahoma" w:cs="Tahoma"/>
          <w:b/>
        </w:rPr>
        <w:t>NOG DUŽNIKA I STANJU IMOVINE I OBVEZA</w:t>
      </w:r>
    </w:p>
    <w:p w:rsidR="000D54E5" w:rsidRDefault="000D54E5">
      <w:pPr>
        <w:pStyle w:val="Standard"/>
        <w:spacing w:after="0" w:line="288" w:lineRule="auto"/>
        <w:jc w:val="center"/>
        <w:rPr>
          <w:rFonts w:ascii="Tahoma" w:hAnsi="Tahoma" w:cs="Tahoma"/>
          <w:b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I Opći podaci o stečajnom dužniku i poduzete radnje stečajnog upravitelja</w:t>
      </w:r>
    </w:p>
    <w:p w:rsidR="000D54E5" w:rsidRDefault="000D54E5">
      <w:pPr>
        <w:pStyle w:val="Standard"/>
        <w:spacing w:after="0" w:line="288" w:lineRule="auto"/>
        <w:jc w:val="center"/>
        <w:rPr>
          <w:rFonts w:ascii="Tahoma" w:hAnsi="Tahoma" w:cs="Tahoma"/>
          <w:b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Pod poslovnim brojem Tt-13/4328-2 od 03. siječnja 2014. </w:t>
      </w:r>
      <w:r>
        <w:rPr>
          <w:rFonts w:ascii="Tahoma" w:hAnsi="Tahoma" w:cs="Tahoma"/>
          <w:lang w:val="pl-PL"/>
        </w:rPr>
        <w:t>objavljen je razlog za prestanak subjekta upisa, promjena tvrtke, imenovanje likvidatora Vladimir Šteinglin.                                 Povodom prijedloga predlagatelja RH Ministartsvo financija, Porezna uprava, Područni ured sjeverna Hrvatska otvoren</w:t>
      </w:r>
      <w:r>
        <w:rPr>
          <w:rFonts w:ascii="Tahoma" w:hAnsi="Tahoma" w:cs="Tahoma"/>
          <w:lang w:val="pl-PL"/>
        </w:rPr>
        <w:t xml:space="preserve"> je stečajni postupak nad dužnikom VIG d.o.o. u likvidaciji.</w:t>
      </w: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 xml:space="preserve"> </w:t>
      </w:r>
    </w:p>
    <w:p w:rsidR="000D54E5" w:rsidRDefault="00E16BAA">
      <w:pPr>
        <w:jc w:val="both"/>
      </w:pPr>
      <w:r>
        <w:rPr>
          <w:rFonts w:ascii="Tahoma" w:hAnsi="Tahoma" w:cs="Tahoma"/>
          <w:lang w:val="pl-PL"/>
        </w:rPr>
        <w:t xml:space="preserve">Stečajni dužnik VIG d.o.o. osnovan je 2004. kao trgovačko društvo Ugovorom o osnivanju od 03. travnja 2004. Osnovna djelatnost stečajnog dužnika bila je uvođenje instalacija, šifra djelatnosti </w:t>
      </w:r>
      <w:r>
        <w:rPr>
          <w:rFonts w:ascii="Tahoma" w:hAnsi="Tahoma" w:cs="Tahoma"/>
          <w:lang w:val="pl-PL"/>
        </w:rPr>
        <w:t>4322 po NKD-u.</w:t>
      </w:r>
      <w:r>
        <w:t xml:space="preserve"> </w:t>
      </w:r>
      <w:r>
        <w:rPr>
          <w:rFonts w:ascii="Tahoma" w:hAnsi="Tahoma" w:cs="Tahoma"/>
          <w:lang w:val="pl-PL"/>
        </w:rPr>
        <w:t>Na dan otvaranja stečajnog postupka, prema dostavljenoj dokumentaciji vezanoj za radni odnos, stečajni dužnik NEMA zaposlenih radnika.</w:t>
      </w: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lastRenderedPageBreak/>
        <w:t>Oglas o otvaranju stečajnog postupka objavljen je na e-oglasnoj ploči suda dana 12. siječnja 2018. s poziv</w:t>
      </w:r>
      <w:r>
        <w:rPr>
          <w:rFonts w:ascii="Tahoma" w:hAnsi="Tahoma" w:cs="Tahoma"/>
          <w:lang w:val="pl-PL"/>
        </w:rPr>
        <w:t>om vjerovnicima radi prijava tražbina u stečajni postupak,  te poziv dužnikovim dužnicima da ispune svoje obveze prema stečajnom dužniku. Izvještajno i ispitno ročište zakazano je za dan 18.04.2018. godine.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0D54E5" w:rsidRDefault="00E16BAA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 sudsku pisarnicu predane su prijave pristiglih</w:t>
      </w:r>
      <w:r>
        <w:rPr>
          <w:rFonts w:ascii="Tahoma" w:hAnsi="Tahoma" w:cs="Tahoma"/>
        </w:rPr>
        <w:t xml:space="preserve"> tražbina (8) u zakonskom roku od 60 dana, obavijesti vjerovnika o postojanju razlučnog/izlučnog prava na nekretninama, popis pre</w:t>
      </w:r>
      <w:r>
        <w:rPr>
          <w:rFonts w:ascii="Tahoma" w:hAnsi="Tahoma" w:cs="Tahoma"/>
        </w:rPr>
        <w:t>d</w:t>
      </w:r>
      <w:r>
        <w:rPr>
          <w:rFonts w:ascii="Tahoma" w:hAnsi="Tahoma" w:cs="Tahoma"/>
        </w:rPr>
        <w:t xml:space="preserve">meta stečajne mase i pregled imovine i obveza stečajnog dužnika zajedno s Izvješćem i Tabelama I i II Višeg isplatnog reda (I </w:t>
      </w:r>
      <w:r>
        <w:rPr>
          <w:rFonts w:ascii="Tahoma" w:hAnsi="Tahoma" w:cs="Tahoma"/>
        </w:rPr>
        <w:t>i II VIR).</w:t>
      </w: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Stečajni upravitelj preuzeo je dužnost  danom otvaranja stečajnog postupka nakon čega su poduzete slijedeće radnje: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lang w:val="pl-PL"/>
        </w:rPr>
      </w:pPr>
    </w:p>
    <w:p w:rsidR="000D54E5" w:rsidRDefault="00E16BAA">
      <w:pPr>
        <w:pStyle w:val="Odlomakpopisa"/>
        <w:numPr>
          <w:ilvl w:val="0"/>
          <w:numId w:val="30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preuzet je stari štambilj i izrađen je novi štambilj stečajnog dužnika s oznakom „u stečaju“,</w:t>
      </w:r>
    </w:p>
    <w:p w:rsidR="000D54E5" w:rsidRDefault="00E16BAA">
      <w:pPr>
        <w:pStyle w:val="Odlomakpopisa"/>
        <w:numPr>
          <w:ilvl w:val="0"/>
          <w:numId w:val="3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poslana je obavijest Državnom zavo</w:t>
      </w:r>
      <w:r>
        <w:rPr>
          <w:rFonts w:ascii="Tahoma" w:hAnsi="Tahoma" w:cs="Tahoma"/>
          <w:lang w:val="pl-PL"/>
        </w:rPr>
        <w:t>du za statistiku za razvrstavanje stečajnog dužnika po djelatnosti,</w:t>
      </w:r>
    </w:p>
    <w:p w:rsidR="000D54E5" w:rsidRDefault="00E16BAA">
      <w:pPr>
        <w:pStyle w:val="Odlomakpopisa"/>
        <w:numPr>
          <w:ilvl w:val="0"/>
          <w:numId w:val="3"/>
        </w:numPr>
        <w:spacing w:after="0" w:line="288" w:lineRule="auto"/>
        <w:jc w:val="both"/>
        <w:rPr>
          <w:rFonts w:ascii="Tahoma" w:hAnsi="Tahoma" w:cs="Tahoma"/>
          <w:lang w:val="pl-PL"/>
        </w:rPr>
      </w:pPr>
      <w:r>
        <w:rPr>
          <w:rFonts w:ascii="Tahoma" w:hAnsi="Tahoma" w:cs="Tahoma"/>
          <w:lang w:val="pl-PL"/>
        </w:rPr>
        <w:t>od likvidatora Vladimira Šteinglina i knjigovodstva Klint d.o.o. iz Strahoninca zatražena je i dobivena dokumentacija stečajnog dužnika,</w:t>
      </w:r>
    </w:p>
    <w:p w:rsidR="000D54E5" w:rsidRDefault="00E16BAA">
      <w:pPr>
        <w:pStyle w:val="Odlomakpopisa"/>
        <w:numPr>
          <w:ilvl w:val="0"/>
          <w:numId w:val="3"/>
        </w:numPr>
        <w:spacing w:after="0" w:line="288" w:lineRule="auto"/>
        <w:jc w:val="both"/>
      </w:pPr>
      <w:r>
        <w:rPr>
          <w:rFonts w:ascii="Tahoma" w:hAnsi="Tahoma" w:cs="Tahoma"/>
          <w:lang w:val="pl-PL"/>
        </w:rPr>
        <w:t>sklopljen je ugovor o obavljanju knjigovodstvenih u</w:t>
      </w:r>
      <w:r>
        <w:rPr>
          <w:rFonts w:ascii="Tahoma" w:hAnsi="Tahoma" w:cs="Tahoma"/>
          <w:lang w:val="pl-PL"/>
        </w:rPr>
        <w:t>sluga sa društvom Biro plus d.o.o. iz Čakovca,</w:t>
      </w:r>
    </w:p>
    <w:p w:rsidR="000D54E5" w:rsidRDefault="00E16BAA">
      <w:pPr>
        <w:pStyle w:val="Odlomakpopisa"/>
        <w:numPr>
          <w:ilvl w:val="0"/>
          <w:numId w:val="3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izvršeni je pregled nekretnine na adresi R. Boškovića 15, Čakovec,  </w:t>
      </w:r>
    </w:p>
    <w:p w:rsidR="000D54E5" w:rsidRDefault="00E16BAA">
      <w:pPr>
        <w:pStyle w:val="Odlomakpopisa"/>
        <w:numPr>
          <w:ilvl w:val="0"/>
          <w:numId w:val="3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dana 18.01.2018. imenovano je Povjerenstvo za popis imovine,</w:t>
      </w:r>
    </w:p>
    <w:p w:rsidR="000D54E5" w:rsidRDefault="00E16BAA">
      <w:pPr>
        <w:pStyle w:val="Odlomakpopisa"/>
        <w:numPr>
          <w:ilvl w:val="0"/>
          <w:numId w:val="3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 tijeku je otvaranje žiro računa stečanog dužnika</w:t>
      </w:r>
    </w:p>
    <w:p w:rsidR="000D54E5" w:rsidRDefault="000D54E5">
      <w:pPr>
        <w:pStyle w:val="Standard"/>
        <w:spacing w:after="0" w:line="288" w:lineRule="auto"/>
        <w:ind w:left="360"/>
        <w:jc w:val="both"/>
        <w:rPr>
          <w:rFonts w:ascii="Tahoma" w:hAnsi="Tahoma" w:cs="Tahoma"/>
          <w:lang w:val="pl-PL"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b/>
          <w:bCs/>
          <w:u w:val="single"/>
          <w:lang w:val="pl-PL"/>
        </w:rPr>
      </w:pPr>
      <w:r>
        <w:rPr>
          <w:rFonts w:ascii="Tahoma" w:hAnsi="Tahoma" w:cs="Tahoma"/>
          <w:b/>
          <w:bCs/>
          <w:u w:val="single"/>
          <w:lang w:val="pl-PL"/>
        </w:rPr>
        <w:t>II Stanje stečajne mase</w:t>
      </w:r>
    </w:p>
    <w:p w:rsidR="000D54E5" w:rsidRDefault="000D54E5">
      <w:pPr>
        <w:pStyle w:val="Standard"/>
        <w:spacing w:after="0" w:line="288" w:lineRule="auto"/>
        <w:ind w:left="357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</w:t>
      </w:r>
      <w:r>
        <w:rPr>
          <w:rFonts w:ascii="Tahoma" w:hAnsi="Tahoma" w:cs="Tahoma"/>
        </w:rPr>
        <w:t xml:space="preserve"> potrebe stečajnog postupka, nakon obavljene analize knjigovodstveno evidentiranog stanja imovine i obveza, Bilance na dan 12.01.2018. godine te prijavljenih tražbina vjero</w:t>
      </w:r>
      <w:r>
        <w:rPr>
          <w:rFonts w:ascii="Tahoma" w:hAnsi="Tahoma" w:cs="Tahoma"/>
        </w:rPr>
        <w:t>v</w:t>
      </w:r>
      <w:r>
        <w:rPr>
          <w:rFonts w:ascii="Tahoma" w:hAnsi="Tahoma" w:cs="Tahoma"/>
        </w:rPr>
        <w:t>nika stečajnog dužnika, izrađena je početna stečajna bilanca sa iskazanim stanjem i</w:t>
      </w:r>
      <w:r>
        <w:rPr>
          <w:rFonts w:ascii="Tahoma" w:hAnsi="Tahoma" w:cs="Tahoma"/>
        </w:rPr>
        <w:t>movine u ukupnom iznosu od 1.786.744,49 kn i obveza u ukupnom iznosu od 4.233.129,90 kn, a kako je prikazano u Tabeli 1.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iCs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bCs/>
          <w:i/>
        </w:rPr>
      </w:pPr>
      <w:r>
        <w:rPr>
          <w:rFonts w:ascii="Tahoma" w:hAnsi="Tahoma" w:cs="Tahoma"/>
          <w:bCs/>
          <w:i/>
        </w:rPr>
        <w:lastRenderedPageBreak/>
        <w:t>Tabela 1.</w:t>
      </w:r>
    </w:p>
    <w:tbl>
      <w:tblPr>
        <w:tblW w:w="1006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4024"/>
        <w:gridCol w:w="2497"/>
        <w:gridCol w:w="2981"/>
      </w:tblGrid>
      <w:tr w:rsidR="000D54E5">
        <w:tblPrEx>
          <w:tblCellMar>
            <w:top w:w="0" w:type="dxa"/>
            <w:bottom w:w="0" w:type="dxa"/>
          </w:tblCellMar>
        </w:tblPrEx>
        <w:trPr>
          <w:trHeight w:val="275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  <w:r>
              <w:rPr>
                <w:rFonts w:ascii="Tahoma" w:hAnsi="Tahoma" w:cs="Tahoma"/>
                <w:b/>
                <w:iCs/>
                <w:sz w:val="22"/>
                <w:szCs w:val="22"/>
              </w:rPr>
              <w:t>R.</w:t>
            </w:r>
          </w:p>
          <w:p w:rsidR="000D54E5" w:rsidRDefault="00E16BAA">
            <w:pPr>
              <w:pStyle w:val="Standard"/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  <w:r>
              <w:rPr>
                <w:rFonts w:ascii="Tahoma" w:hAnsi="Tahoma" w:cs="Tahoma"/>
                <w:b/>
                <w:iCs/>
                <w:sz w:val="22"/>
                <w:szCs w:val="22"/>
              </w:rPr>
              <w:t>br</w:t>
            </w:r>
          </w:p>
        </w:tc>
        <w:tc>
          <w:tcPr>
            <w:tcW w:w="40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center"/>
              <w:rPr>
                <w:rFonts w:ascii="Tahoma" w:hAnsi="Tahoma" w:cs="Tahoma"/>
                <w:b/>
                <w:iCs/>
                <w:sz w:val="22"/>
                <w:szCs w:val="22"/>
              </w:rPr>
            </w:pPr>
            <w:r>
              <w:rPr>
                <w:rFonts w:ascii="Tahoma" w:hAnsi="Tahoma" w:cs="Tahoma"/>
                <w:b/>
                <w:iCs/>
                <w:sz w:val="22"/>
                <w:szCs w:val="22"/>
              </w:rPr>
              <w:t>Opis imovine</w:t>
            </w:r>
          </w:p>
        </w:tc>
        <w:tc>
          <w:tcPr>
            <w:tcW w:w="2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Knjigovodstvena</w:t>
            </w:r>
          </w:p>
          <w:p w:rsidR="000D54E5" w:rsidRDefault="00E16BAA">
            <w:pPr>
              <w:pStyle w:val="Standard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vrijednost po Bilanci na dan 11.01.2018.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center"/>
            </w:pPr>
            <w:r>
              <w:rPr>
                <w:rFonts w:ascii="Tahoma" w:hAnsi="Tahoma" w:cs="Tahoma"/>
                <w:b/>
                <w:caps/>
                <w:sz w:val="22"/>
                <w:szCs w:val="22"/>
              </w:rPr>
              <w:t>P</w:t>
            </w:r>
            <w:r>
              <w:rPr>
                <w:rFonts w:ascii="Tahoma" w:hAnsi="Tahoma" w:cs="Tahoma"/>
                <w:b/>
                <w:sz w:val="22"/>
                <w:szCs w:val="22"/>
              </w:rPr>
              <w:t>rocijenjena</w:t>
            </w:r>
          </w:p>
          <w:p w:rsidR="000D54E5" w:rsidRDefault="00E16BAA">
            <w:pPr>
              <w:pStyle w:val="Standard"/>
              <w:spacing w:after="0" w:line="240" w:lineRule="auto"/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 xml:space="preserve"> vrijednost iskazana u početnoj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stečajnoj b</w:t>
            </w:r>
            <w:r>
              <w:rPr>
                <w:rFonts w:ascii="Tahoma" w:hAnsi="Tahoma" w:cs="Tahoma"/>
                <w:b/>
                <w:sz w:val="22"/>
                <w:szCs w:val="22"/>
              </w:rPr>
              <w:t>i</w:t>
            </w:r>
            <w:r>
              <w:rPr>
                <w:rFonts w:ascii="Tahoma" w:hAnsi="Tahoma" w:cs="Tahoma"/>
                <w:b/>
                <w:sz w:val="22"/>
                <w:szCs w:val="22"/>
              </w:rPr>
              <w:t>lanci na dan 12.01.2018.</w:t>
            </w:r>
          </w:p>
        </w:tc>
      </w:tr>
      <w:tr w:rsidR="000D54E5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1.</w:t>
            </w:r>
          </w:p>
        </w:tc>
        <w:tc>
          <w:tcPr>
            <w:tcW w:w="40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Nekretnina – k.o. Čakovec</w:t>
            </w:r>
          </w:p>
        </w:tc>
        <w:tc>
          <w:tcPr>
            <w:tcW w:w="2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1.786.744,49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1.786.744,49</w:t>
            </w:r>
          </w:p>
        </w:tc>
      </w:tr>
      <w:tr w:rsidR="000D54E5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2.</w:t>
            </w:r>
          </w:p>
        </w:tc>
        <w:tc>
          <w:tcPr>
            <w:tcW w:w="40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Potraživanja od kupaca</w:t>
            </w:r>
          </w:p>
        </w:tc>
        <w:tc>
          <w:tcPr>
            <w:tcW w:w="2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563.469,21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0,00</w:t>
            </w:r>
          </w:p>
        </w:tc>
      </w:tr>
      <w:tr w:rsidR="000D54E5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b/>
                <w:iCs/>
                <w:sz w:val="22"/>
                <w:szCs w:val="22"/>
              </w:rPr>
            </w:pPr>
            <w:bookmarkStart w:id="2" w:name="_Hlk484696843"/>
            <w:bookmarkEnd w:id="2"/>
            <w:r>
              <w:rPr>
                <w:rFonts w:ascii="Tahoma" w:hAnsi="Tahoma" w:cs="Tahoma"/>
                <w:b/>
                <w:iCs/>
                <w:sz w:val="22"/>
                <w:szCs w:val="22"/>
              </w:rPr>
              <w:t>A)</w:t>
            </w:r>
          </w:p>
        </w:tc>
        <w:tc>
          <w:tcPr>
            <w:tcW w:w="40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  <w:r>
              <w:rPr>
                <w:rFonts w:ascii="Tahoma" w:hAnsi="Tahoma" w:cs="Tahoma"/>
                <w:b/>
                <w:iCs/>
                <w:sz w:val="22"/>
                <w:szCs w:val="22"/>
              </w:rPr>
              <w:t>IMOVINA (r.br. 1+2)</w:t>
            </w:r>
          </w:p>
        </w:tc>
        <w:tc>
          <w:tcPr>
            <w:tcW w:w="2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</w:pPr>
            <w:r>
              <w:rPr>
                <w:rFonts w:ascii="Tahoma" w:hAnsi="Tahoma" w:cs="Tahoma"/>
                <w:b/>
              </w:rPr>
              <w:t>2.350.213,7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</w:pPr>
            <w:r>
              <w:rPr>
                <w:rFonts w:ascii="Tahoma" w:hAnsi="Tahoma" w:cs="Tahoma"/>
                <w:b/>
              </w:rPr>
              <w:t>1.786.744,49</w:t>
            </w:r>
          </w:p>
        </w:tc>
      </w:tr>
      <w:tr w:rsidR="000D54E5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1.</w:t>
            </w:r>
          </w:p>
        </w:tc>
        <w:tc>
          <w:tcPr>
            <w:tcW w:w="40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Obveze za poreze i doprinose, kamate</w:t>
            </w:r>
          </w:p>
        </w:tc>
        <w:tc>
          <w:tcPr>
            <w:tcW w:w="2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1.467.654,43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586.618,33</w:t>
            </w:r>
          </w:p>
        </w:tc>
      </w:tr>
      <w:tr w:rsidR="000D54E5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2.</w:t>
            </w:r>
          </w:p>
        </w:tc>
        <w:tc>
          <w:tcPr>
            <w:tcW w:w="40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Obveze za dugoročni kredit</w:t>
            </w:r>
          </w:p>
        </w:tc>
        <w:tc>
          <w:tcPr>
            <w:tcW w:w="2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1.453.596,51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2.472.073,55</w:t>
            </w:r>
          </w:p>
        </w:tc>
      </w:tr>
      <w:tr w:rsidR="000D54E5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3.</w:t>
            </w:r>
          </w:p>
        </w:tc>
        <w:tc>
          <w:tcPr>
            <w:tcW w:w="40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Obveze prema Vladimiru Šteinglin  (</w:t>
            </w:r>
            <w:bookmarkStart w:id="3" w:name="_Hlk509582056"/>
            <w:r>
              <w:rPr>
                <w:rFonts w:ascii="Tahoma" w:hAnsi="Tahoma" w:cs="Tahoma"/>
                <w:sz w:val="22"/>
                <w:szCs w:val="22"/>
              </w:rPr>
              <w:t>pozajmice, dnevnice i terenski dod</w:t>
            </w:r>
            <w:r>
              <w:rPr>
                <w:rFonts w:ascii="Tahoma" w:hAnsi="Tahoma" w:cs="Tahoma"/>
                <w:sz w:val="22"/>
                <w:szCs w:val="22"/>
              </w:rPr>
              <w:t>a</w:t>
            </w:r>
            <w:r>
              <w:rPr>
                <w:rFonts w:ascii="Tahoma" w:hAnsi="Tahoma" w:cs="Tahoma"/>
                <w:sz w:val="22"/>
                <w:szCs w:val="22"/>
              </w:rPr>
              <w:t>tak, pl. u gotovini, kamate</w:t>
            </w:r>
            <w:bookmarkEnd w:id="3"/>
            <w:r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2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966.654,89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1.131.736,63</w:t>
            </w:r>
          </w:p>
        </w:tc>
      </w:tr>
      <w:tr w:rsidR="000D54E5">
        <w:tblPrEx>
          <w:tblCellMar>
            <w:top w:w="0" w:type="dxa"/>
            <w:bottom w:w="0" w:type="dxa"/>
          </w:tblCellMar>
        </w:tblPrEx>
        <w:trPr>
          <w:trHeight w:val="34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4.</w:t>
            </w:r>
          </w:p>
        </w:tc>
        <w:tc>
          <w:tcPr>
            <w:tcW w:w="40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Obveze prema dobavljačima        </w:t>
            </w:r>
          </w:p>
        </w:tc>
        <w:tc>
          <w:tcPr>
            <w:tcW w:w="2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134.166,75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42.701,39</w:t>
            </w:r>
          </w:p>
        </w:tc>
      </w:tr>
      <w:tr w:rsidR="000D54E5">
        <w:tblPrEx>
          <w:tblCellMar>
            <w:top w:w="0" w:type="dxa"/>
            <w:bottom w:w="0" w:type="dxa"/>
          </w:tblCellMar>
        </w:tblPrEx>
        <w:trPr>
          <w:trHeight w:val="397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B)</w:t>
            </w:r>
          </w:p>
        </w:tc>
        <w:tc>
          <w:tcPr>
            <w:tcW w:w="40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OBVEZE (r.br.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1+2+3+4)</w:t>
            </w:r>
          </w:p>
        </w:tc>
        <w:tc>
          <w:tcPr>
            <w:tcW w:w="24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4.022.072,58</w:t>
            </w:r>
          </w:p>
        </w:tc>
        <w:tc>
          <w:tcPr>
            <w:tcW w:w="29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after="0" w:line="240" w:lineRule="auto"/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4.233.129,90</w:t>
            </w:r>
          </w:p>
        </w:tc>
      </w:tr>
    </w:tbl>
    <w:p w:rsidR="000D54E5" w:rsidRDefault="000D54E5">
      <w:pPr>
        <w:pStyle w:val="Standard"/>
        <w:spacing w:after="0" w:line="288" w:lineRule="auto"/>
        <w:ind w:left="720"/>
        <w:jc w:val="both"/>
        <w:rPr>
          <w:rFonts w:ascii="Calibri" w:hAnsi="Calibri" w:cs="Calibri"/>
        </w:rPr>
      </w:pPr>
    </w:p>
    <w:p w:rsidR="000D54E5" w:rsidRDefault="000D54E5">
      <w:pPr>
        <w:pStyle w:val="Standard"/>
        <w:spacing w:after="0" w:line="288" w:lineRule="auto"/>
        <w:ind w:left="360"/>
        <w:jc w:val="both"/>
        <w:rPr>
          <w:rFonts w:ascii="Tahoma" w:hAnsi="Tahoma" w:cs="Tahoma"/>
          <w:b/>
        </w:rPr>
      </w:pPr>
    </w:p>
    <w:p w:rsidR="000D54E5" w:rsidRDefault="00E16BAA">
      <w:pPr>
        <w:pStyle w:val="Standard"/>
        <w:spacing w:after="0" w:line="288" w:lineRule="auto"/>
        <w:ind w:left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 ) IMOVINA</w:t>
      </w:r>
    </w:p>
    <w:p w:rsidR="000D54E5" w:rsidRDefault="000D54E5">
      <w:pPr>
        <w:pStyle w:val="Standard"/>
        <w:spacing w:after="0" w:line="288" w:lineRule="auto"/>
        <w:ind w:left="360"/>
        <w:jc w:val="both"/>
        <w:rPr>
          <w:rFonts w:ascii="Tahoma" w:hAnsi="Tahoma" w:cs="Tahoma"/>
          <w:b/>
        </w:rPr>
      </w:pPr>
    </w:p>
    <w:p w:rsidR="000D54E5" w:rsidRDefault="00E16BAA">
      <w:pPr>
        <w:pStyle w:val="Standard"/>
        <w:spacing w:after="0" w:line="288" w:lineRule="auto"/>
        <w:ind w:left="360"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>Nekretnine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after="0" w:line="288" w:lineRule="auto"/>
        <w:jc w:val="both"/>
      </w:pPr>
      <w:r>
        <w:rPr>
          <w:rFonts w:ascii="Tahoma" w:hAnsi="Tahoma" w:cs="Tahoma"/>
        </w:rPr>
        <w:t>U početnoj bilanci stečajnog dužnika imovina se iskazuje prema knjigovodstvenoj vrije</w:t>
      </w:r>
      <w:r>
        <w:rPr>
          <w:rFonts w:ascii="Tahoma" w:hAnsi="Tahoma" w:cs="Tahoma"/>
        </w:rPr>
        <w:t>d</w:t>
      </w:r>
      <w:r>
        <w:rPr>
          <w:rFonts w:ascii="Tahoma" w:hAnsi="Tahoma" w:cs="Tahoma"/>
        </w:rPr>
        <w:t xml:space="preserve">nosti u iznosu od </w:t>
      </w:r>
      <w:r>
        <w:rPr>
          <w:rFonts w:ascii="Tahoma" w:hAnsi="Tahoma" w:cs="Tahoma"/>
          <w:b/>
        </w:rPr>
        <w:t>1.786.744,49 kn</w:t>
      </w:r>
      <w:r>
        <w:rPr>
          <w:rFonts w:ascii="Tahoma" w:hAnsi="Tahoma" w:cs="Tahoma"/>
        </w:rPr>
        <w:t xml:space="preserve"> a sastoji se :</w:t>
      </w:r>
    </w:p>
    <w:p w:rsidR="000D54E5" w:rsidRDefault="00E16BAA">
      <w:pPr>
        <w:pStyle w:val="Standard"/>
        <w:spacing w:after="0" w:line="288" w:lineRule="auto"/>
        <w:jc w:val="both"/>
      </w:pPr>
      <w:r>
        <w:rPr>
          <w:rFonts w:ascii="Tahoma" w:hAnsi="Tahoma" w:cs="Tahoma"/>
        </w:rPr>
        <w:t xml:space="preserve"> </w:t>
      </w:r>
    </w:p>
    <w:p w:rsidR="000D54E5" w:rsidRDefault="00E16BAA">
      <w:pPr>
        <w:pStyle w:val="Standard"/>
        <w:spacing w:after="0" w:line="288" w:lineRule="auto"/>
      </w:pPr>
      <w:r>
        <w:rPr>
          <w:rFonts w:ascii="Tahoma" w:hAnsi="Tahoma" w:cs="Tahoma"/>
        </w:rPr>
        <w:t xml:space="preserve">Nekretnina upravna zgrada, tri skladišta sa sanitarnim </w:t>
      </w:r>
      <w:r>
        <w:rPr>
          <w:rFonts w:ascii="Tahoma" w:hAnsi="Tahoma" w:cs="Tahoma"/>
        </w:rPr>
        <w:t>čvorom i kotlovnicom, proizvodna hala 3 i 4 sa industrijskim dvorištem, proizvodna hala 1, ukupne površine 495 čhv. z.k.ul. 6745 E, čest. br. 81 k.o. Čakovec i to :</w:t>
      </w:r>
    </w:p>
    <w:p w:rsidR="000D54E5" w:rsidRDefault="00E16BAA">
      <w:pPr>
        <w:pStyle w:val="Standard"/>
        <w:spacing w:after="0" w:line="288" w:lineRule="auto"/>
      </w:pPr>
      <w:r>
        <w:rPr>
          <w:rFonts w:ascii="Tahoma" w:hAnsi="Tahoma" w:cs="Tahoma"/>
        </w:rPr>
        <w:t xml:space="preserve">                                                                </w:t>
      </w:r>
      <w:r>
        <w:rPr>
          <w:rFonts w:ascii="Tahoma" w:hAnsi="Tahoma" w:cs="Tahoma"/>
        </w:rPr>
        <w:t xml:space="preserve">                                                                                </w:t>
      </w:r>
      <w:r>
        <w:rPr>
          <w:rFonts w:ascii="Tahoma" w:hAnsi="Tahoma" w:cs="Tahoma"/>
          <w:b/>
          <w:bCs/>
        </w:rPr>
        <w:t>3 ETAŽA 82/1000 dijela (E-3)</w:t>
      </w:r>
      <w:r>
        <w:rPr>
          <w:rFonts w:ascii="Tahoma" w:hAnsi="Tahoma" w:cs="Tahoma"/>
        </w:rPr>
        <w:t xml:space="preserve">  i s tim dijelom povezanim pravom vlasništva posebnog dijela nekretnine, ČESTICA 3 -poslovni prostor br.1 u prizemlju građevine, koji se sastoji od</w:t>
      </w:r>
      <w:r>
        <w:rPr>
          <w:rFonts w:ascii="Tahoma" w:hAnsi="Tahoma" w:cs="Tahoma"/>
        </w:rPr>
        <w:t xml:space="preserve"> stepenica, holla, prostorije za tajnicu, prostorije za direktora, dvorane za sastanke, step</w:t>
      </w:r>
      <w:r>
        <w:rPr>
          <w:rFonts w:ascii="Tahoma" w:hAnsi="Tahoma" w:cs="Tahoma"/>
        </w:rPr>
        <w:t>e</w:t>
      </w:r>
      <w:r>
        <w:rPr>
          <w:rFonts w:ascii="Tahoma" w:hAnsi="Tahoma" w:cs="Tahoma"/>
        </w:rPr>
        <w:t>nica za tavan, hodnika, WC-a, ureda 1 i 2 i arhive površine 107,14 m² u planu posebnih dijelova zgrade označeno smeđom bojom</w:t>
      </w:r>
    </w:p>
    <w:p w:rsidR="000D54E5" w:rsidRDefault="00E16BAA">
      <w:pPr>
        <w:pStyle w:val="Standard"/>
        <w:spacing w:after="0" w:line="288" w:lineRule="auto"/>
      </w:pPr>
      <w:r>
        <w:rPr>
          <w:rFonts w:ascii="Tahoma" w:hAnsi="Tahoma" w:cs="Tahoma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ahoma" w:hAnsi="Tahoma" w:cs="Tahoma"/>
          <w:b/>
          <w:bCs/>
        </w:rPr>
        <w:t>4 ETAŽA 224/1000 dijela (E-4</w:t>
      </w:r>
      <w:r>
        <w:rPr>
          <w:rFonts w:ascii="Tahoma" w:hAnsi="Tahoma" w:cs="Tahoma"/>
        </w:rPr>
        <w:t>) i s tim</w:t>
      </w:r>
      <w:r>
        <w:rPr>
          <w:rFonts w:ascii="Tahoma" w:hAnsi="Tahoma" w:cs="Tahoma"/>
        </w:rPr>
        <w:t xml:space="preserve"> dijelom povezanim pravom vlasništva posebnog dijela nekretnine, ČESTICA 4 - poslovni prostor br.2 u prizemlju građevine, koji se sastoji od prolaza i prodavaonice, ukupne površine od 292,58 m², u planu posebnih dijelova zgr</w:t>
      </w:r>
      <w:r>
        <w:rPr>
          <w:rFonts w:ascii="Tahoma" w:hAnsi="Tahoma" w:cs="Tahoma"/>
        </w:rPr>
        <w:t>a</w:t>
      </w:r>
      <w:r>
        <w:rPr>
          <w:rFonts w:ascii="Tahoma" w:hAnsi="Tahoma" w:cs="Tahoma"/>
        </w:rPr>
        <w:t xml:space="preserve">de označeno žutom bojom  </w:t>
      </w:r>
    </w:p>
    <w:p w:rsidR="000D54E5" w:rsidRDefault="00E16BAA">
      <w:pPr>
        <w:pStyle w:val="Standard"/>
        <w:spacing w:after="0" w:line="288" w:lineRule="auto"/>
      </w:pPr>
      <w:r>
        <w:rPr>
          <w:rFonts w:ascii="Tahoma" w:hAnsi="Tahoma" w:cs="Tahoma"/>
        </w:rPr>
        <w:lastRenderedPageBreak/>
        <w:t xml:space="preserve">     </w:t>
      </w:r>
      <w:r>
        <w:rPr>
          <w:rFonts w:ascii="Tahoma" w:hAnsi="Tahoma" w:cs="Tahom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ahoma" w:hAnsi="Tahoma" w:cs="Tahoma"/>
          <w:b/>
          <w:bCs/>
        </w:rPr>
        <w:t>5</w:t>
      </w:r>
      <w:r>
        <w:rPr>
          <w:rFonts w:ascii="Tahoma" w:hAnsi="Tahoma" w:cs="Tahoma"/>
          <w:b/>
          <w:bCs/>
        </w:rPr>
        <w:t xml:space="preserve"> ETAŽA 161/1000 dijela (E-5)</w:t>
      </w:r>
      <w:r>
        <w:rPr>
          <w:rFonts w:ascii="Tahoma" w:hAnsi="Tahoma" w:cs="Tahoma"/>
        </w:rPr>
        <w:t xml:space="preserve"> i s tim dijelom povezanim pravom vlasništva posebnog dijela nekretnine, ČESTICA 5- poslovni prostor br.3 u prizemlju i katu građevine, koji se sastoji od radionica 1 i 2, ureda, skladišta 1 i 2, ukupne površine 211,28 m², u pla</w:t>
      </w:r>
      <w:r>
        <w:rPr>
          <w:rFonts w:ascii="Tahoma" w:hAnsi="Tahoma" w:cs="Tahoma"/>
        </w:rPr>
        <w:t>nu p</w:t>
      </w:r>
      <w:r>
        <w:rPr>
          <w:rFonts w:ascii="Tahoma" w:hAnsi="Tahoma" w:cs="Tahoma"/>
        </w:rPr>
        <w:t>o</w:t>
      </w:r>
      <w:r>
        <w:rPr>
          <w:rFonts w:ascii="Tahoma" w:hAnsi="Tahoma" w:cs="Tahoma"/>
        </w:rPr>
        <w:t>sebnih dijelova zgrade označeno naranđastom bojom</w:t>
      </w:r>
    </w:p>
    <w:p w:rsidR="000D54E5" w:rsidRDefault="00E16BAA">
      <w:pPr>
        <w:pStyle w:val="Standard"/>
        <w:spacing w:after="0" w:line="288" w:lineRule="auto"/>
      </w:pPr>
      <w:r>
        <w:rPr>
          <w:rFonts w:ascii="Tahoma" w:hAnsi="Tahoma" w:cs="Tahoma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rPr>
          <w:rFonts w:ascii="Tahoma" w:hAnsi="Tahoma" w:cs="Tahoma"/>
        </w:rPr>
        <w:t xml:space="preserve">           </w:t>
      </w:r>
      <w:r>
        <w:rPr>
          <w:rFonts w:ascii="Tahoma" w:hAnsi="Tahoma" w:cs="Tahoma"/>
          <w:b/>
          <w:bCs/>
        </w:rPr>
        <w:t>6 ETAŽA 82/10000 dijela (E-6)</w:t>
      </w:r>
      <w:r>
        <w:rPr>
          <w:rFonts w:ascii="Tahoma" w:hAnsi="Tahoma" w:cs="Tahoma"/>
        </w:rPr>
        <w:t xml:space="preserve"> i s tim dijelom povezanim pravom vlasništva posebnog dijela nekretnine, ČESTICA 6 - poslovni prostor br.4 u prizemlju građevine, koji se sastoji od skladišta 1 i 2, ukupne površine od107,63 m², u planu posebnih dije</w:t>
      </w:r>
      <w:r>
        <w:rPr>
          <w:rFonts w:ascii="Tahoma" w:hAnsi="Tahoma" w:cs="Tahoma"/>
        </w:rPr>
        <w:t>lova zgrade ozn</w:t>
      </w:r>
      <w:r>
        <w:rPr>
          <w:rFonts w:ascii="Tahoma" w:hAnsi="Tahoma" w:cs="Tahoma"/>
        </w:rPr>
        <w:t>a</w:t>
      </w:r>
      <w:r>
        <w:rPr>
          <w:rFonts w:ascii="Tahoma" w:hAnsi="Tahoma" w:cs="Tahoma"/>
        </w:rPr>
        <w:t>čeno roznom bojom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Na navedenim nekretninama upisano je založno pravo  u korist razlučnog vjerovnika: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E16BAA">
      <w:pPr>
        <w:pStyle w:val="Standard"/>
        <w:numPr>
          <w:ilvl w:val="0"/>
          <w:numId w:val="31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B2 KAPITAL d.o.o., Zagreb, Radnička cesta 41, OIB: 57509775367</w:t>
      </w:r>
    </w:p>
    <w:p w:rsidR="000D54E5" w:rsidRDefault="00E16BAA">
      <w:pPr>
        <w:pStyle w:val="Standard"/>
        <w:numPr>
          <w:ilvl w:val="0"/>
          <w:numId w:val="31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RH - Ministarstvo financija, Porezna uprava, Područni ured Sjeverna Hrvats</w:t>
      </w:r>
      <w:r>
        <w:rPr>
          <w:rFonts w:ascii="Tahoma" w:hAnsi="Tahoma" w:cs="Tahoma"/>
        </w:rPr>
        <w:t>ka, OIB 52634238587</w:t>
      </w:r>
    </w:p>
    <w:p w:rsidR="000D54E5" w:rsidRDefault="000D54E5">
      <w:pPr>
        <w:pStyle w:val="Standard"/>
        <w:numPr>
          <w:ilvl w:val="0"/>
          <w:numId w:val="31"/>
        </w:numPr>
        <w:spacing w:after="0" w:line="288" w:lineRule="auto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Prema poslovnim knjigama i izjavi bivšeg direktora Vladinira Štenglina stečajni dužnik n</w:t>
      </w:r>
      <w:r>
        <w:rPr>
          <w:rFonts w:ascii="Tahoma" w:hAnsi="Tahoma" w:cs="Tahoma"/>
        </w:rPr>
        <w:t>e</w:t>
      </w:r>
      <w:r>
        <w:rPr>
          <w:rFonts w:ascii="Tahoma" w:hAnsi="Tahoma" w:cs="Tahoma"/>
        </w:rPr>
        <w:t>ma drugih nekretnina iako postoje sporovi o vlasništvu za apartmane u Supetru na Braču, a bivši direktor Vladimir Štenglin je suprotno svojim tvrd</w:t>
      </w:r>
      <w:r>
        <w:rPr>
          <w:rFonts w:ascii="Tahoma" w:hAnsi="Tahoma" w:cs="Tahoma"/>
        </w:rPr>
        <w:t>njama podnio izlučni zahtjev za 1 apartman u Supetru.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after="0" w:line="288" w:lineRule="auto"/>
        <w:jc w:val="both"/>
      </w:pPr>
      <w:r>
        <w:rPr>
          <w:rFonts w:ascii="Tahoma" w:hAnsi="Tahoma" w:cs="Tahoma"/>
          <w:b/>
          <w:bCs/>
        </w:rPr>
        <w:tab/>
      </w:r>
      <w:r>
        <w:rPr>
          <w:rFonts w:ascii="Tahoma" w:hAnsi="Tahoma" w:cs="Tahoma"/>
          <w:b/>
          <w:bCs/>
          <w:u w:val="single"/>
        </w:rPr>
        <w:t>Pokretnine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Povjerenstvo za popis imovine dana 18.01.2018. nije našlo pokretne imovine u sjedištu dužnika u Strahonincu niti na lokaciji u Čakovcu, a za tuđe zatečene stvari u ul. R. Bošk</w:t>
      </w:r>
      <w:r>
        <w:rPr>
          <w:rFonts w:ascii="Tahoma" w:hAnsi="Tahoma" w:cs="Tahoma"/>
        </w:rPr>
        <w:t>o</w:t>
      </w:r>
      <w:r>
        <w:rPr>
          <w:rFonts w:ascii="Tahoma" w:hAnsi="Tahoma" w:cs="Tahoma"/>
        </w:rPr>
        <w:t>vića bivši d</w:t>
      </w:r>
      <w:r>
        <w:rPr>
          <w:rFonts w:ascii="Tahoma" w:hAnsi="Tahoma" w:cs="Tahoma"/>
        </w:rPr>
        <w:t>irektor Vladimir Steinglin dobio je nalog za ispražnjenje, ali još uvijek to nije učinio.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b/>
          <w:u w:val="single"/>
        </w:rPr>
      </w:pPr>
      <w:r>
        <w:rPr>
          <w:rFonts w:ascii="Tahoma" w:hAnsi="Tahoma" w:cs="Tahoma"/>
          <w:b/>
          <w:u w:val="single"/>
        </w:rPr>
        <w:t xml:space="preserve">Potraživanja od kupaca (dužnikovi dužnici)   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b/>
          <w:u w:val="single"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Ukupno evidentirana knjigovodstvena vrijednost potraživanja od kupaca na dan 31.12. 2017. g. iskazana je u iznosu od 5</w:t>
      </w:r>
      <w:r>
        <w:rPr>
          <w:rFonts w:ascii="Tahoma" w:hAnsi="Tahoma" w:cs="Tahoma"/>
        </w:rPr>
        <w:t>63.469,21 kn.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Najveći dužnik je Slavko Mitrović u iznosu od 500.000,00 kn a koje potraživanje se odnosi na izvedene radove u stanu, radi se o spornom potraživanju a predmet se vodi kod Opći</w:t>
      </w:r>
      <w:r>
        <w:rPr>
          <w:rFonts w:ascii="Tahoma" w:hAnsi="Tahoma" w:cs="Tahoma"/>
        </w:rPr>
        <w:t>n</w:t>
      </w:r>
      <w:r>
        <w:rPr>
          <w:rFonts w:ascii="Tahoma" w:hAnsi="Tahoma" w:cs="Tahoma"/>
        </w:rPr>
        <w:t>skog suda u Čakovcu pod brojem P-828/2013.  Likvidator društva je</w:t>
      </w:r>
      <w:r>
        <w:rPr>
          <w:rFonts w:ascii="Tahoma" w:hAnsi="Tahoma" w:cs="Tahoma"/>
        </w:rPr>
        <w:t xml:space="preserve"> naložio knjigovodstvu </w:t>
      </w:r>
      <w:r>
        <w:rPr>
          <w:rFonts w:ascii="Tahoma" w:hAnsi="Tahoma" w:cs="Tahoma"/>
        </w:rPr>
        <w:lastRenderedPageBreak/>
        <w:t xml:space="preserve">da se u poslovnim knjigama proknjiži to upitno potraživanje.  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Preostala potraživanja od kupaca datiraju iz 2013. i 2014. godine, protiv kojih nisu pokr</w:t>
      </w:r>
      <w:r>
        <w:rPr>
          <w:rFonts w:ascii="Tahoma" w:hAnsi="Tahoma" w:cs="Tahoma"/>
        </w:rPr>
        <w:t>e</w:t>
      </w:r>
      <w:r>
        <w:rPr>
          <w:rFonts w:ascii="Tahoma" w:hAnsi="Tahoma" w:cs="Tahoma"/>
        </w:rPr>
        <w:t>nuti postupci radi naplate pa je  nastupila zastara potraživanja time da su nek</w:t>
      </w:r>
      <w:r>
        <w:rPr>
          <w:rFonts w:ascii="Tahoma" w:hAnsi="Tahoma" w:cs="Tahoma"/>
        </w:rPr>
        <w:t>i dužnici  već i brisani iz registra trgovačkog suda.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Zbog navedenog, vrijednost potraživanja od kupaca u početnoj stečajnoj bilanci iskazana u vrijednosti 0,00 kn.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Slijedom iznijetog, ukupna vrijednost imovine stečajnog dužnika na dan otvaranja steča</w:t>
      </w:r>
      <w:r>
        <w:rPr>
          <w:rFonts w:ascii="Tahoma" w:hAnsi="Tahoma" w:cs="Tahoma"/>
        </w:rPr>
        <w:t>j</w:t>
      </w:r>
      <w:r>
        <w:rPr>
          <w:rFonts w:ascii="Tahoma" w:hAnsi="Tahoma" w:cs="Tahoma"/>
        </w:rPr>
        <w:t>no</w:t>
      </w:r>
      <w:r>
        <w:rPr>
          <w:rFonts w:ascii="Tahoma" w:hAnsi="Tahoma" w:cs="Tahoma"/>
        </w:rPr>
        <w:t>g postupka 12.01.2018. godine iskazuje se u iznosu od 1.786.744,49 kn, a obuhvaća vrijednost nekretnine koja će se koregirati nakon izvršene procijene od strane sudskog vj</w:t>
      </w:r>
      <w:r>
        <w:rPr>
          <w:rFonts w:ascii="Tahoma" w:hAnsi="Tahoma" w:cs="Tahoma"/>
        </w:rPr>
        <w:t>e</w:t>
      </w:r>
      <w:r>
        <w:rPr>
          <w:rFonts w:ascii="Tahoma" w:hAnsi="Tahoma" w:cs="Tahoma"/>
        </w:rPr>
        <w:t>štaka.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bCs/>
          <w:i/>
          <w:iCs/>
        </w:rPr>
      </w:pPr>
      <w:r>
        <w:rPr>
          <w:rFonts w:ascii="Tahoma" w:hAnsi="Tahoma" w:cs="Tahoma"/>
          <w:bCs/>
          <w:i/>
          <w:iCs/>
        </w:rPr>
        <w:t xml:space="preserve">- Prilog 1: odluka likvidatora o proknjiženom potraživanju od Slavka </w:t>
      </w:r>
      <w:r>
        <w:rPr>
          <w:rFonts w:ascii="Tahoma" w:hAnsi="Tahoma" w:cs="Tahoma"/>
          <w:bCs/>
          <w:i/>
          <w:iCs/>
        </w:rPr>
        <w:t>Mitrovića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bCs/>
          <w:i/>
          <w:iCs/>
        </w:rPr>
      </w:pPr>
    </w:p>
    <w:p w:rsidR="000D54E5" w:rsidRDefault="00E16BAA">
      <w:pPr>
        <w:pStyle w:val="Standard"/>
        <w:spacing w:after="0"/>
      </w:pPr>
      <w:r>
        <w:rPr>
          <w:rFonts w:ascii="Tahoma" w:hAnsi="Tahoma" w:cs="Tahoma"/>
          <w:b/>
          <w:bCs/>
          <w:i/>
          <w:iCs/>
          <w:color w:val="FF0000"/>
          <w:u w:val="single"/>
        </w:rPr>
        <w:t>Sudski sporovi</w:t>
      </w:r>
    </w:p>
    <w:p w:rsidR="000D54E5" w:rsidRDefault="000D54E5">
      <w:pPr>
        <w:pStyle w:val="Standard"/>
        <w:spacing w:after="0"/>
        <w:rPr>
          <w:rFonts w:ascii="Tahoma" w:hAnsi="Tahoma" w:cs="Tahoma"/>
          <w:bCs/>
          <w:i/>
          <w:iCs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bCs/>
          <w:iCs/>
        </w:rPr>
      </w:pPr>
      <w:r>
        <w:rPr>
          <w:rFonts w:ascii="Tahoma" w:hAnsi="Tahoma" w:cs="Tahoma"/>
          <w:bCs/>
          <w:iCs/>
        </w:rPr>
        <w:t>Stečajni dužnik ima nekoliko postupaka u tijeku u kojima su nastupili prekidi postupka i to: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bCs/>
          <w:iCs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bCs/>
          <w:iCs/>
        </w:rPr>
      </w:pPr>
      <w:r>
        <w:rPr>
          <w:rFonts w:ascii="Tahoma" w:hAnsi="Tahoma" w:cs="Tahoma"/>
          <w:bCs/>
          <w:iCs/>
        </w:rPr>
        <w:t xml:space="preserve">- OS Split, P-5693/2015, sada ustup na TS Vžd, P-232/17, tužba stečajnog dužnika protiv Euro Iver d.o.o. u stečaju   (brisan), Arming </w:t>
      </w:r>
      <w:r>
        <w:rPr>
          <w:rFonts w:ascii="Tahoma" w:hAnsi="Tahoma" w:cs="Tahoma"/>
          <w:bCs/>
          <w:iCs/>
        </w:rPr>
        <w:t>Metal d.o.o. u stečaju i A nekretnine j.d.o.o. radi ništetnosti ugovora o prodaji i  priznanja izlučnog prava prema I tuženiku, sve za apartman u Supetru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bCs/>
          <w:iCs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bCs/>
          <w:iCs/>
        </w:rPr>
      </w:pPr>
      <w:r>
        <w:rPr>
          <w:rFonts w:ascii="Tahoma" w:hAnsi="Tahoma" w:cs="Tahoma"/>
          <w:bCs/>
          <w:iCs/>
        </w:rPr>
        <w:t>- TS Bjelovar, P-87/2015, tužba, stečajni dužnik i Vesna Steinglin protiv Erste banke, Ljilj</w:t>
      </w:r>
      <w:r>
        <w:rPr>
          <w:rFonts w:ascii="Tahoma" w:hAnsi="Tahoma" w:cs="Tahoma"/>
          <w:bCs/>
          <w:iCs/>
        </w:rPr>
        <w:t>a</w:t>
      </w:r>
      <w:r>
        <w:rPr>
          <w:rFonts w:ascii="Tahoma" w:hAnsi="Tahoma" w:cs="Tahoma"/>
          <w:bCs/>
          <w:iCs/>
        </w:rPr>
        <w:t>ne Stein</w:t>
      </w:r>
      <w:r>
        <w:rPr>
          <w:rFonts w:ascii="Tahoma" w:hAnsi="Tahoma" w:cs="Tahoma"/>
          <w:bCs/>
          <w:iCs/>
        </w:rPr>
        <w:t>glin i Vladimira Steinglina radi utvrđenja ovrhe nedopuštenom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bCs/>
          <w:iCs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bCs/>
          <w:iCs/>
        </w:rPr>
      </w:pPr>
      <w:r>
        <w:rPr>
          <w:rFonts w:ascii="Tahoma" w:hAnsi="Tahoma" w:cs="Tahoma"/>
          <w:bCs/>
          <w:iCs/>
        </w:rPr>
        <w:t>- TS Vžd., P-117/09, tužba stečajnog dužnika protiv Euro Iver d.o.o. u stečaju, sada brisan, radi isplate/utvrđenja tražbine osnovanom za II VIR u iznosu 4.119.760,80 kn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bCs/>
          <w:iCs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bCs/>
          <w:iCs/>
        </w:rPr>
      </w:pPr>
      <w:r>
        <w:rPr>
          <w:rFonts w:ascii="Tahoma" w:hAnsi="Tahoma" w:cs="Tahoma"/>
          <w:bCs/>
          <w:iCs/>
        </w:rPr>
        <w:t>- TS Zagreb, P-797/12,</w:t>
      </w:r>
      <w:r>
        <w:rPr>
          <w:rFonts w:ascii="Tahoma" w:hAnsi="Tahoma" w:cs="Tahoma"/>
          <w:bCs/>
          <w:iCs/>
        </w:rPr>
        <w:t xml:space="preserve"> tužba stečajnog dužnika protiv Prvi Faktor d.o.o. u likvidaciji i K</w:t>
      </w:r>
      <w:r>
        <w:rPr>
          <w:rFonts w:ascii="Tahoma" w:hAnsi="Tahoma" w:cs="Tahoma"/>
          <w:bCs/>
          <w:iCs/>
        </w:rPr>
        <w:t>e</w:t>
      </w:r>
      <w:r>
        <w:rPr>
          <w:rFonts w:ascii="Tahoma" w:hAnsi="Tahoma" w:cs="Tahoma"/>
          <w:bCs/>
          <w:iCs/>
        </w:rPr>
        <w:t>moboje plus d.o.o. u stečaju radi utvrđenja i uspostave ranijeg zk stanja, stanovi u Čako</w:t>
      </w:r>
      <w:r>
        <w:rPr>
          <w:rFonts w:ascii="Tahoma" w:hAnsi="Tahoma" w:cs="Tahoma"/>
          <w:bCs/>
          <w:iCs/>
        </w:rPr>
        <w:t>v</w:t>
      </w:r>
      <w:r>
        <w:rPr>
          <w:rFonts w:ascii="Tahoma" w:hAnsi="Tahoma" w:cs="Tahoma"/>
          <w:bCs/>
          <w:iCs/>
        </w:rPr>
        <w:t>cu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bCs/>
          <w:iCs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bCs/>
          <w:iCs/>
        </w:rPr>
      </w:pPr>
      <w:r>
        <w:rPr>
          <w:rFonts w:ascii="Tahoma" w:hAnsi="Tahoma" w:cs="Tahoma"/>
          <w:bCs/>
          <w:iCs/>
        </w:rPr>
        <w:t>- TS Vžd, Povrv-691/2015 Grad Supetar protiv stečajnog dužnika radi 3.315,95 kn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bCs/>
          <w:iCs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bCs/>
          <w:iCs/>
        </w:rPr>
      </w:pPr>
      <w:r>
        <w:rPr>
          <w:rFonts w:ascii="Tahoma" w:hAnsi="Tahoma" w:cs="Tahoma"/>
          <w:bCs/>
          <w:iCs/>
        </w:rPr>
        <w:lastRenderedPageBreak/>
        <w:t>- OS Čakovec</w:t>
      </w:r>
      <w:r>
        <w:rPr>
          <w:rFonts w:ascii="Tahoma" w:hAnsi="Tahoma" w:cs="Tahoma"/>
          <w:bCs/>
          <w:iCs/>
        </w:rPr>
        <w:t>, P-828/13 ( priklopljeni P-377/11 i P-1059/11 ), stečajni dužnik protiv tuž</w:t>
      </w:r>
      <w:r>
        <w:rPr>
          <w:rFonts w:ascii="Tahoma" w:hAnsi="Tahoma" w:cs="Tahoma"/>
          <w:bCs/>
          <w:iCs/>
        </w:rPr>
        <w:t>e</w:t>
      </w:r>
      <w:r>
        <w:rPr>
          <w:rFonts w:ascii="Tahoma" w:hAnsi="Tahoma" w:cs="Tahoma"/>
          <w:bCs/>
          <w:iCs/>
        </w:rPr>
        <w:t>nika Slavka Mitrovića, Igora i Vlatke Steinglin, radi proglašenje ovrhe nedopuštenom, žalba tužitelja odbijena kao neosnovana te potvrđena prvostupanjska presuda OS Čakovec, ŽS  S</w:t>
      </w:r>
      <w:r>
        <w:rPr>
          <w:rFonts w:ascii="Tahoma" w:hAnsi="Tahoma" w:cs="Tahoma"/>
          <w:bCs/>
          <w:iCs/>
        </w:rPr>
        <w:t>plit broj Gž-3301/17 od 11.01.2018. ( proknjiženje 500.000,00 kn – dužnikov dužnik Slavko Mitrović po odluci stečajnog dužnika od 01.04.2016. ).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bCs/>
          <w:iCs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bCs/>
          <w:iCs/>
        </w:rPr>
      </w:pPr>
      <w:r>
        <w:rPr>
          <w:rFonts w:ascii="Tahoma" w:hAnsi="Tahoma" w:cs="Tahoma"/>
          <w:bCs/>
          <w:iCs/>
        </w:rPr>
        <w:t>Stečajni upravitelj uputio je poziv odvjetnicima koji su zastupali stečajnog dužnika da do</w:t>
      </w:r>
      <w:r>
        <w:rPr>
          <w:rFonts w:ascii="Tahoma" w:hAnsi="Tahoma" w:cs="Tahoma"/>
          <w:bCs/>
          <w:iCs/>
        </w:rPr>
        <w:t>s</w:t>
      </w:r>
      <w:r>
        <w:rPr>
          <w:rFonts w:ascii="Tahoma" w:hAnsi="Tahoma" w:cs="Tahoma"/>
          <w:bCs/>
          <w:iCs/>
        </w:rPr>
        <w:t>tave sve predmete k</w:t>
      </w:r>
      <w:r>
        <w:rPr>
          <w:rFonts w:ascii="Tahoma" w:hAnsi="Tahoma" w:cs="Tahoma"/>
          <w:bCs/>
          <w:iCs/>
        </w:rPr>
        <w:t>oje imaju u radu ali to je izvršeno samo djelomično tako da u ovom trenutku nije poznati konačan broj sporova u koje je involviran stečajni dužnik.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bCs/>
          <w:iCs/>
        </w:rPr>
      </w:pP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bCs/>
          <w:iCs/>
        </w:rPr>
      </w:pPr>
    </w:p>
    <w:p w:rsidR="000D54E5" w:rsidRDefault="00E16BAA">
      <w:pPr>
        <w:spacing w:after="0" w:line="288" w:lineRule="auto"/>
        <w:ind w:left="360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B) OBVEZE</w:t>
      </w:r>
    </w:p>
    <w:p w:rsidR="000D54E5" w:rsidRDefault="000D54E5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after="0" w:line="288" w:lineRule="auto"/>
        <w:jc w:val="both"/>
      </w:pPr>
      <w:r>
        <w:rPr>
          <w:rFonts w:ascii="Tahoma" w:hAnsi="Tahoma" w:cs="Tahoma"/>
        </w:rPr>
        <w:t>Do isteka roka za prijave tražbina 12.03.2018. ukupno je zaprimljeno 8 tražbina stečajnih vjero</w:t>
      </w:r>
      <w:r>
        <w:rPr>
          <w:rFonts w:ascii="Tahoma" w:hAnsi="Tahoma" w:cs="Tahoma"/>
        </w:rPr>
        <w:t xml:space="preserve">vnika koje  iznose </w:t>
      </w:r>
      <w:r>
        <w:rPr>
          <w:rFonts w:ascii="Tahoma" w:hAnsi="Tahoma" w:cs="Tahoma"/>
          <w:b/>
          <w:bCs/>
        </w:rPr>
        <w:t>4.242.729,90 kn.</w:t>
      </w:r>
      <w:r>
        <w:rPr>
          <w:rFonts w:ascii="Tahoma" w:hAnsi="Tahoma" w:cs="Tahoma"/>
        </w:rPr>
        <w:t xml:space="preserve"> Priznate su tražbine stečajnih vjerovnika u i</w:t>
      </w:r>
      <w:r>
        <w:rPr>
          <w:rFonts w:ascii="Tahoma" w:hAnsi="Tahoma" w:cs="Tahoma"/>
        </w:rPr>
        <w:t>z</w:t>
      </w:r>
      <w:r>
        <w:rPr>
          <w:rFonts w:ascii="Tahoma" w:hAnsi="Tahoma" w:cs="Tahoma"/>
        </w:rPr>
        <w:t xml:space="preserve">nosu od </w:t>
      </w:r>
      <w:r>
        <w:rPr>
          <w:rFonts w:ascii="Tahoma" w:hAnsi="Tahoma" w:cs="Tahoma"/>
          <w:b/>
        </w:rPr>
        <w:t>4.233.129,90 kn</w:t>
      </w:r>
      <w:r>
        <w:rPr>
          <w:rFonts w:ascii="Tahoma" w:hAnsi="Tahoma" w:cs="Tahoma"/>
        </w:rPr>
        <w:t xml:space="preserve"> a osporena je tražbina u iznosu od </w:t>
      </w:r>
      <w:r>
        <w:rPr>
          <w:rFonts w:ascii="Tahoma" w:hAnsi="Tahoma" w:cs="Tahoma"/>
          <w:b/>
          <w:bCs/>
        </w:rPr>
        <w:t>9.600,00 kn</w:t>
      </w:r>
      <w:r>
        <w:rPr>
          <w:rFonts w:ascii="Tahoma" w:hAnsi="Tahoma" w:cs="Tahoma"/>
        </w:rPr>
        <w:t xml:space="preserve"> jer se radi o sudskim troškovima koji postupak je još u tijeku. U odnosu na red isplate svrstane su u t</w:t>
      </w:r>
      <w:r>
        <w:rPr>
          <w:rFonts w:ascii="Tahoma" w:hAnsi="Tahoma" w:cs="Tahoma"/>
        </w:rPr>
        <w:t>ražbine: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E16BAA">
      <w:pPr>
        <w:pStyle w:val="Odlomakpopisa"/>
        <w:numPr>
          <w:ilvl w:val="0"/>
          <w:numId w:val="32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 višeg isplatnog reda u iznosu od        236.956,96 kn</w:t>
      </w:r>
    </w:p>
    <w:p w:rsidR="000D54E5" w:rsidRDefault="00E16BAA">
      <w:pPr>
        <w:pStyle w:val="Odlomakpopisa"/>
        <w:numPr>
          <w:ilvl w:val="0"/>
          <w:numId w:val="23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II višeg isplatnog reda u iznosu od    3.996.172,94 kn</w:t>
      </w:r>
    </w:p>
    <w:p w:rsidR="000D54E5" w:rsidRDefault="000D54E5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after="0" w:line="288" w:lineRule="auto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Osporene tražbine  odnose se na tražbinu:</w:t>
      </w:r>
    </w:p>
    <w:p w:rsidR="000D54E5" w:rsidRDefault="000D54E5">
      <w:pPr>
        <w:pStyle w:val="Standard"/>
        <w:spacing w:after="0" w:line="288" w:lineRule="auto"/>
        <w:ind w:left="360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after="0" w:line="288" w:lineRule="auto"/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•</w:t>
      </w:r>
      <w:r>
        <w:rPr>
          <w:rFonts w:ascii="Tahoma" w:hAnsi="Tahoma" w:cs="Tahoma"/>
        </w:rPr>
        <w:tab/>
        <w:t>PRVI FAKTOR d.o.o. u likvidaciji u iznosu od 9.600,00 – troškovi za odgovor na tu</w:t>
      </w:r>
      <w:r>
        <w:rPr>
          <w:rFonts w:ascii="Tahoma" w:hAnsi="Tahoma" w:cs="Tahoma"/>
        </w:rPr>
        <w:t>ž</w:t>
      </w:r>
      <w:r>
        <w:rPr>
          <w:rFonts w:ascii="Tahoma" w:hAnsi="Tahoma" w:cs="Tahoma"/>
        </w:rPr>
        <w:t xml:space="preserve">bu VIG </w:t>
      </w:r>
      <w:r>
        <w:rPr>
          <w:rFonts w:ascii="Tahoma" w:hAnsi="Tahoma" w:cs="Tahoma"/>
        </w:rPr>
        <w:t>d.o.o.</w:t>
      </w:r>
    </w:p>
    <w:p w:rsidR="000D54E5" w:rsidRDefault="000D54E5">
      <w:pPr>
        <w:pStyle w:val="Standard"/>
        <w:spacing w:after="0" w:line="288" w:lineRule="auto"/>
        <w:ind w:left="360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Nije razmatrana prijava tražbine MF-Porezna uprava Čakovec u iznosu 5.000,00 kn jer je ista stigla 21.03.218. a rok za prijave istekao je 12.03.2018. pa bi istu valjalo odbaciti.</w:t>
      </w:r>
    </w:p>
    <w:p w:rsidR="000D54E5" w:rsidRDefault="000D54E5">
      <w:pPr>
        <w:pStyle w:val="Standard"/>
        <w:spacing w:after="0" w:line="288" w:lineRule="auto"/>
        <w:ind w:left="360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Tražbina I. VIR-a odnosi se na Ministarstvo financija za poreze i do</w:t>
      </w:r>
      <w:r>
        <w:rPr>
          <w:rFonts w:ascii="Tahoma" w:hAnsi="Tahoma" w:cs="Tahoma"/>
        </w:rPr>
        <w:t>prinose iz i na plaće bi</w:t>
      </w:r>
      <w:r>
        <w:rPr>
          <w:rFonts w:ascii="Tahoma" w:hAnsi="Tahoma" w:cs="Tahoma"/>
        </w:rPr>
        <w:t>v</w:t>
      </w:r>
      <w:r>
        <w:rPr>
          <w:rFonts w:ascii="Tahoma" w:hAnsi="Tahoma" w:cs="Tahoma"/>
        </w:rPr>
        <w:t>ših zaposlenika, koje  je ujedno i razlučni vjerovnik.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b/>
          <w:bCs/>
          <w:u w:val="single"/>
        </w:rPr>
      </w:pPr>
    </w:p>
    <w:p w:rsidR="000D54E5" w:rsidRDefault="00E16BAA">
      <w:pPr>
        <w:jc w:val="both"/>
      </w:pPr>
      <w:r>
        <w:rPr>
          <w:rStyle w:val="Istaknuto"/>
          <w:rFonts w:ascii="Tahoma" w:hAnsi="Tahoma" w:cs="Tahoma"/>
          <w:i w:val="0"/>
        </w:rPr>
        <w:t>Tražbine II. višeg isplatnog reda odnose se na dobavljače za isporučenu robu i izvršene usluge, kredit prema B2 KAPITAL d.o.o. (ustup od Erste &amp;</w:t>
      </w:r>
      <w:r>
        <w:rPr>
          <w:rStyle w:val="Istaknuto"/>
          <w:rFonts w:ascii="Tahoma" w:hAnsi="Tahoma" w:cs="Tahoma"/>
          <w:i w:val="0"/>
        </w:rPr>
        <w:t xml:space="preserve"> Steiermarkische bank d.d.) kao stečajni i razlučni vjerovnik, obveza prema Vladimiru Šteinglin prema odlukama za pozajmice, dnevnice i terenski dodatak, plaćanja u gotovini i kamate.</w:t>
      </w:r>
    </w:p>
    <w:p w:rsidR="000D54E5" w:rsidRDefault="000D54E5">
      <w:pPr>
        <w:jc w:val="both"/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  <w:b/>
          <w:bCs/>
          <w:u w:val="single"/>
        </w:rPr>
      </w:pPr>
      <w:r>
        <w:rPr>
          <w:rFonts w:ascii="Tahoma" w:hAnsi="Tahoma" w:cs="Tahoma"/>
          <w:b/>
          <w:bCs/>
          <w:u w:val="single"/>
        </w:rPr>
        <w:t>III Prijedlozi stečajnog upravitelja</w:t>
      </w:r>
    </w:p>
    <w:p w:rsidR="000D54E5" w:rsidRDefault="000D54E5">
      <w:pPr>
        <w:pStyle w:val="Standard"/>
        <w:spacing w:after="0" w:line="288" w:lineRule="auto"/>
        <w:ind w:left="360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Slijedom iznesenog, stečajni dužn</w:t>
      </w:r>
      <w:r>
        <w:rPr>
          <w:rFonts w:ascii="Tahoma" w:hAnsi="Tahoma" w:cs="Tahoma"/>
        </w:rPr>
        <w:t>ik VIG d.o.o. nema uvjeta za nastavak djelatnosti i dal</w:t>
      </w:r>
      <w:r>
        <w:rPr>
          <w:rFonts w:ascii="Tahoma" w:hAnsi="Tahoma" w:cs="Tahoma"/>
        </w:rPr>
        <w:t>j</w:t>
      </w:r>
      <w:r>
        <w:rPr>
          <w:rFonts w:ascii="Tahoma" w:hAnsi="Tahoma" w:cs="Tahoma"/>
        </w:rPr>
        <w:t>njeg poslovanja. Stoga stečajni upravitelj predlaže da Skupština vjerovnika na izvještajnom ročištu donese slijedeće Odluke: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E16BAA">
      <w:pPr>
        <w:pStyle w:val="Odlomakpopisa"/>
        <w:numPr>
          <w:ilvl w:val="0"/>
          <w:numId w:val="33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prihvaćanje izvješća i financijskog plana stečajnog upravitelja o gospodar</w:t>
      </w:r>
      <w:r>
        <w:rPr>
          <w:rFonts w:ascii="Tahoma" w:hAnsi="Tahoma" w:cs="Tahoma"/>
        </w:rPr>
        <w:t>skom položaju stečajnog dužnika i do sada poduzetim radnjama stečajnog upravitelja,</w:t>
      </w:r>
    </w:p>
    <w:p w:rsidR="000D54E5" w:rsidRDefault="00E16BAA">
      <w:pPr>
        <w:pStyle w:val="Odlomakpopisa"/>
        <w:numPr>
          <w:ilvl w:val="0"/>
          <w:numId w:val="25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davanje suglasnosti stečajnom upravitelju za procjenu vrijednosti imovine stečajnog dužnika</w:t>
      </w:r>
    </w:p>
    <w:p w:rsidR="000D54E5" w:rsidRDefault="00E16BAA">
      <w:pPr>
        <w:pStyle w:val="Odlomakpopisa"/>
        <w:numPr>
          <w:ilvl w:val="0"/>
          <w:numId w:val="25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donošenje odluke u načinu unovčenja imovine stečajnog dužnika putem FINE</w:t>
      </w:r>
    </w:p>
    <w:p w:rsidR="000D54E5" w:rsidRDefault="00E16BAA">
      <w:pPr>
        <w:pStyle w:val="Odlomakpopisa"/>
        <w:numPr>
          <w:ilvl w:val="0"/>
          <w:numId w:val="25"/>
        </w:numPr>
        <w:spacing w:after="0" w:line="288" w:lineRule="auto"/>
        <w:jc w:val="both"/>
        <w:rPr>
          <w:rFonts w:ascii="Tahoma" w:hAnsi="Tahoma" w:cs="Tahoma"/>
          <w:color w:val="FF0000"/>
        </w:rPr>
      </w:pPr>
      <w:r>
        <w:rPr>
          <w:rFonts w:ascii="Tahoma" w:hAnsi="Tahoma" w:cs="Tahoma"/>
          <w:color w:val="FF0000"/>
        </w:rPr>
        <w:t>zahtjev</w:t>
      </w:r>
      <w:r>
        <w:rPr>
          <w:rFonts w:ascii="Tahoma" w:hAnsi="Tahoma" w:cs="Tahoma"/>
          <w:color w:val="FF0000"/>
        </w:rPr>
        <w:t xml:space="preserve"> dosadašnjim odvjetnicima  za podnošenje izvješća o postupcima u tijeku i nakon toga donošenje odluka o eventualnom nastavku i produženju punomoći      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Varaždin, 02.04.2018.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Stečajni upravitelj Zvonko Hrain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after="0" w:line="288" w:lineRule="auto"/>
        <w:jc w:val="both"/>
      </w:pPr>
      <w:r>
        <w:rPr>
          <w:rFonts w:ascii="Tahoma" w:hAnsi="Tahoma" w:cs="Tahoma"/>
        </w:rPr>
        <w:t xml:space="preserve"> </w:t>
      </w:r>
      <w:r>
        <w:rPr>
          <w:rFonts w:ascii="Tahoma" w:hAnsi="Tahoma" w:cs="Tahoma"/>
          <w:i/>
        </w:rPr>
        <w:t>Prilozi uz izvješće:</w:t>
      </w:r>
    </w:p>
    <w:p w:rsidR="000D54E5" w:rsidRDefault="000D54E5">
      <w:pPr>
        <w:pStyle w:val="Standard"/>
        <w:spacing w:after="0" w:line="288" w:lineRule="auto"/>
        <w:jc w:val="both"/>
        <w:rPr>
          <w:rFonts w:ascii="Tahoma" w:hAnsi="Tahoma" w:cs="Tahoma"/>
          <w:i/>
        </w:rPr>
      </w:pPr>
    </w:p>
    <w:p w:rsidR="000D54E5" w:rsidRDefault="00E16BAA">
      <w:pPr>
        <w:pStyle w:val="Odlomakpopisa"/>
        <w:numPr>
          <w:ilvl w:val="0"/>
          <w:numId w:val="34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tablica prija</w:t>
      </w:r>
      <w:r>
        <w:rPr>
          <w:rFonts w:ascii="Tahoma" w:hAnsi="Tahoma" w:cs="Tahoma"/>
        </w:rPr>
        <w:t>vljenih i priznatih tražbina I viši isplatni red (tražbine br. 1-4)</w:t>
      </w:r>
    </w:p>
    <w:p w:rsidR="000D54E5" w:rsidRDefault="00E16BAA">
      <w:pPr>
        <w:pStyle w:val="Odlomakpopisa"/>
        <w:numPr>
          <w:ilvl w:val="0"/>
          <w:numId w:val="9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tablica prijavljenih i priznatih tražbina II viši isplatni red (tražbine br. 1-8)</w:t>
      </w:r>
    </w:p>
    <w:p w:rsidR="000D54E5" w:rsidRDefault="00E16BAA">
      <w:pPr>
        <w:pStyle w:val="Odlomakpopisa"/>
        <w:numPr>
          <w:ilvl w:val="0"/>
          <w:numId w:val="9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tablica ukupno prijavljenih i priznatih tražbina sa postotkom (I i II viši isplatni red)</w:t>
      </w:r>
    </w:p>
    <w:p w:rsidR="000D54E5" w:rsidRDefault="00E16BAA">
      <w:pPr>
        <w:pStyle w:val="Odlomakpopisa"/>
        <w:numPr>
          <w:ilvl w:val="0"/>
          <w:numId w:val="9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tablica obavijest</w:t>
      </w:r>
      <w:r>
        <w:rPr>
          <w:rFonts w:ascii="Tahoma" w:hAnsi="Tahoma" w:cs="Tahoma"/>
        </w:rPr>
        <w:t>i o postojanju razlučnog prava na nekretninama</w:t>
      </w:r>
    </w:p>
    <w:p w:rsidR="000D54E5" w:rsidRDefault="00E16BAA">
      <w:pPr>
        <w:pStyle w:val="Odlomakpopisa"/>
        <w:numPr>
          <w:ilvl w:val="0"/>
          <w:numId w:val="9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popis predmeta stečajne mase (čl. 221. SZ)  </w:t>
      </w:r>
    </w:p>
    <w:p w:rsidR="000D54E5" w:rsidRDefault="00E16BAA">
      <w:pPr>
        <w:pStyle w:val="Odlomakpopisa"/>
        <w:numPr>
          <w:ilvl w:val="0"/>
          <w:numId w:val="9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popis imovine i obveza (čl. 223. SZ) s popisom dugotrajne imovine stečajnog dužnika</w:t>
      </w:r>
    </w:p>
    <w:p w:rsidR="000D54E5" w:rsidRDefault="00E16BAA">
      <w:pPr>
        <w:pStyle w:val="Odlomakpopisa"/>
        <w:numPr>
          <w:ilvl w:val="0"/>
          <w:numId w:val="9"/>
        </w:numPr>
        <w:spacing w:after="0" w:line="288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pregled financijskog plana za razdoblje od 12.01.-12.04.2018.godine</w:t>
      </w:r>
    </w:p>
    <w:p w:rsidR="000D54E5" w:rsidRDefault="000D54E5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0D54E5" w:rsidRDefault="000D54E5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0D54E5" w:rsidRDefault="000D54E5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0D54E5" w:rsidRDefault="000D54E5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0D54E5" w:rsidRDefault="000D54E5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0D54E5" w:rsidRDefault="000D54E5">
      <w:pPr>
        <w:pStyle w:val="Odlomakpopisa"/>
        <w:spacing w:after="0" w:line="288" w:lineRule="auto"/>
        <w:jc w:val="both"/>
        <w:rPr>
          <w:rFonts w:ascii="Tahoma" w:hAnsi="Tahoma" w:cs="Tahoma"/>
        </w:rPr>
      </w:pPr>
    </w:p>
    <w:p w:rsidR="000D54E5" w:rsidRDefault="00E16BAA">
      <w:pPr>
        <w:pStyle w:val="Standard"/>
        <w:spacing w:line="288" w:lineRule="auto"/>
      </w:pP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ab/>
      </w:r>
      <w:r>
        <w:rPr>
          <w:rFonts w:ascii="Tahoma" w:hAnsi="Tahoma" w:cs="Tahoma"/>
          <w:b/>
          <w:sz w:val="28"/>
          <w:szCs w:val="28"/>
        </w:rPr>
        <w:t xml:space="preserve">                 </w:t>
      </w:r>
      <w:r>
        <w:rPr>
          <w:rFonts w:ascii="Tahoma" w:hAnsi="Tahoma" w:cs="Tahoma"/>
          <w:b/>
        </w:rPr>
        <w:t xml:space="preserve">TRGOVAČKI SUD </w:t>
      </w:r>
      <w:r>
        <w:rPr>
          <w:rFonts w:ascii="Tahoma" w:hAnsi="Tahoma" w:cs="Tahoma"/>
          <w:b/>
        </w:rPr>
        <w:tab/>
        <w:t>VARAŽDIN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          St – 428/16</w:t>
      </w:r>
    </w:p>
    <w:p w:rsidR="000D54E5" w:rsidRDefault="00E16BAA">
      <w:pPr>
        <w:pStyle w:val="Standard"/>
        <w:spacing w:after="0"/>
        <w:ind w:hanging="426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  <w:t xml:space="preserve">               </w:t>
      </w:r>
      <w:r>
        <w:rPr>
          <w:rFonts w:ascii="Tahoma" w:hAnsi="Tahoma" w:cs="Tahoma"/>
          <w:b/>
        </w:rPr>
        <w:tab/>
      </w:r>
    </w:p>
    <w:p w:rsidR="000D54E5" w:rsidRDefault="00E16BAA">
      <w:pPr>
        <w:pStyle w:val="Standard"/>
        <w:spacing w:after="0"/>
        <w:ind w:hanging="426"/>
        <w:jc w:val="both"/>
      </w:pPr>
      <w:r>
        <w:rPr>
          <w:rFonts w:ascii="Tahoma" w:hAnsi="Tahoma" w:cs="Tahoma"/>
          <w:b/>
          <w:sz w:val="28"/>
          <w:szCs w:val="28"/>
        </w:rPr>
        <w:t xml:space="preserve">   </w:t>
      </w:r>
    </w:p>
    <w:p w:rsidR="000D54E5" w:rsidRDefault="00E16BAA">
      <w:pPr>
        <w:pStyle w:val="Standard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PREGLED FINANCIJSKOG PLANA ZA PERIOD</w:t>
      </w:r>
    </w:p>
    <w:p w:rsidR="000D54E5" w:rsidRDefault="00E16BAA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(12.01.- 30.04.2018. godine )</w:t>
      </w:r>
    </w:p>
    <w:p w:rsidR="000D54E5" w:rsidRDefault="000D54E5">
      <w:pPr>
        <w:pStyle w:val="Standard"/>
        <w:jc w:val="center"/>
        <w:rPr>
          <w:rFonts w:ascii="Tahoma" w:hAnsi="Tahoma" w:cs="Tahoma"/>
          <w:sz w:val="28"/>
          <w:szCs w:val="28"/>
        </w:rPr>
      </w:pPr>
    </w:p>
    <w:tbl>
      <w:tblPr>
        <w:tblW w:w="1019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70"/>
        <w:gridCol w:w="2024"/>
        <w:gridCol w:w="2202"/>
      </w:tblGrid>
      <w:tr w:rsidR="000D54E5">
        <w:tblPrEx>
          <w:tblCellMar>
            <w:top w:w="0" w:type="dxa"/>
            <w:bottom w:w="0" w:type="dxa"/>
          </w:tblCellMar>
        </w:tblPrEx>
        <w:trPr>
          <w:trHeight w:val="1091"/>
          <w:jc w:val="center"/>
        </w:trPr>
        <w:tc>
          <w:tcPr>
            <w:tcW w:w="5970" w:type="dxa"/>
            <w:tcBorders>
              <w:top w:val="doub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Planirani troškovi</w:t>
            </w:r>
          </w:p>
        </w:tc>
        <w:tc>
          <w:tcPr>
            <w:tcW w:w="2024" w:type="dxa"/>
            <w:tcBorders>
              <w:top w:val="doub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Mjesečni               trošak</w:t>
            </w:r>
          </w:p>
        </w:tc>
        <w:tc>
          <w:tcPr>
            <w:tcW w:w="2202" w:type="dxa"/>
            <w:tcBorders>
              <w:top w:val="doub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jc w:val="center"/>
            </w:pPr>
            <w:r>
              <w:rPr>
                <w:rFonts w:ascii="Tahoma" w:hAnsi="Tahoma" w:cs="Tahoma"/>
                <w:b/>
                <w:bCs/>
              </w:rPr>
              <w:t xml:space="preserve">Razdoblje </w:t>
            </w:r>
            <w:r>
              <w:rPr>
                <w:rFonts w:ascii="Tahoma" w:hAnsi="Tahoma" w:cs="Tahoma"/>
                <w:b/>
                <w:bCs/>
                <w:caps/>
              </w:rPr>
              <w:t>12.01-12.04.2018.</w:t>
            </w:r>
          </w:p>
        </w:tc>
      </w:tr>
      <w:tr w:rsidR="000D54E5">
        <w:tblPrEx>
          <w:tblCellMar>
            <w:top w:w="0" w:type="dxa"/>
            <w:bottom w:w="0" w:type="dxa"/>
          </w:tblCellMar>
        </w:tblPrEx>
        <w:trPr>
          <w:trHeight w:val="846"/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Putni i </w:t>
            </w:r>
            <w:r>
              <w:rPr>
                <w:rFonts w:ascii="Tahoma" w:hAnsi="Tahoma" w:cs="Tahoma"/>
              </w:rPr>
              <w:t>materijalni troškovi (poštarina, telefon, uredski materijal, procjena imovine = cca 5.000,00 kn, ostalo 3 x 500,00 kn)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5.000,00</w:t>
            </w:r>
          </w:p>
          <w:p w:rsidR="000D54E5" w:rsidRDefault="00E16BAA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1.500,00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6.500,00</w:t>
            </w:r>
          </w:p>
        </w:tc>
      </w:tr>
      <w:tr w:rsidR="000D54E5">
        <w:tblPrEx>
          <w:tblCellMar>
            <w:top w:w="0" w:type="dxa"/>
            <w:bottom w:w="0" w:type="dxa"/>
          </w:tblCellMar>
        </w:tblPrEx>
        <w:trPr>
          <w:trHeight w:val="694"/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spacing w:line="288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Troškovi utvrđivanja tražbina i usluga izrade početne stečajne bilance, izrada tablica, usklađenje </w:t>
            </w:r>
            <w:r>
              <w:rPr>
                <w:rFonts w:ascii="Tahoma" w:hAnsi="Tahoma" w:cs="Tahoma"/>
              </w:rPr>
              <w:t>evident</w:t>
            </w:r>
            <w:r>
              <w:rPr>
                <w:rFonts w:ascii="Tahoma" w:hAnsi="Tahoma" w:cs="Tahoma"/>
              </w:rPr>
              <w:t>i</w:t>
            </w:r>
            <w:r>
              <w:rPr>
                <w:rFonts w:ascii="Tahoma" w:hAnsi="Tahoma" w:cs="Tahoma"/>
              </w:rPr>
              <w:t>ranih stanja imovine i obveza, analiza dokumentacije,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5.000,00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5.000,00</w:t>
            </w:r>
          </w:p>
        </w:tc>
      </w:tr>
      <w:tr w:rsidR="000D54E5">
        <w:tblPrEx>
          <w:tblCellMar>
            <w:top w:w="0" w:type="dxa"/>
            <w:bottom w:w="0" w:type="dxa"/>
          </w:tblCellMar>
        </w:tblPrEx>
        <w:trPr>
          <w:trHeight w:val="386"/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Knjigovodstvene usluge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1.500,00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double" w:sz="6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jc w:val="righ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4.500,00</w:t>
            </w:r>
          </w:p>
        </w:tc>
      </w:tr>
      <w:tr w:rsidR="000D54E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70" w:type="dxa"/>
            <w:tcBorders>
              <w:top w:val="single" w:sz="6" w:space="0" w:color="000001"/>
              <w:left w:val="double" w:sz="6" w:space="0" w:color="000001"/>
              <w:bottom w:val="double" w:sz="6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UKUPNO</w:t>
            </w:r>
          </w:p>
        </w:tc>
        <w:tc>
          <w:tcPr>
            <w:tcW w:w="2024" w:type="dxa"/>
            <w:tcBorders>
              <w:top w:val="single" w:sz="6" w:space="0" w:color="000001"/>
              <w:left w:val="single" w:sz="6" w:space="0" w:color="000001"/>
              <w:bottom w:val="double" w:sz="6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jc w:val="right"/>
            </w:pPr>
            <w:r>
              <w:rPr>
                <w:rFonts w:ascii="Tahoma" w:hAnsi="Tahoma" w:cs="Tahoma"/>
                <w:b/>
              </w:rPr>
              <w:t>6.500,00</w:t>
            </w:r>
          </w:p>
        </w:tc>
        <w:tc>
          <w:tcPr>
            <w:tcW w:w="2202" w:type="dxa"/>
            <w:tcBorders>
              <w:top w:val="single" w:sz="6" w:space="0" w:color="000001"/>
              <w:left w:val="single" w:sz="6" w:space="0" w:color="000001"/>
              <w:bottom w:val="double" w:sz="6" w:space="0" w:color="000001"/>
              <w:right w:val="double" w:sz="6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4E5" w:rsidRDefault="00E16BAA">
            <w:pPr>
              <w:pStyle w:val="Standard"/>
              <w:jc w:val="right"/>
            </w:pPr>
            <w:r>
              <w:rPr>
                <w:rFonts w:ascii="Tahoma" w:hAnsi="Tahoma" w:cs="Tahoma"/>
                <w:b/>
              </w:rPr>
              <w:t>16.000,00</w:t>
            </w:r>
          </w:p>
        </w:tc>
      </w:tr>
    </w:tbl>
    <w:p w:rsidR="000D54E5" w:rsidRDefault="000D54E5">
      <w:pPr>
        <w:pStyle w:val="Standard"/>
        <w:spacing w:line="288" w:lineRule="auto"/>
        <w:rPr>
          <w:rFonts w:ascii="Century Gothic" w:hAnsi="Century Gothic" w:cs="Century Gothic"/>
          <w:b/>
          <w:i/>
        </w:rPr>
      </w:pPr>
    </w:p>
    <w:p w:rsidR="000D54E5" w:rsidRDefault="00E16BAA">
      <w:pPr>
        <w:pStyle w:val="Standard"/>
        <w:spacing w:line="288" w:lineRule="auto"/>
        <w:ind w:left="142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 xml:space="preserve">*Planirani troškovi za period od 12.01.-30.04.2018.godine iskazani su bez PDV-a, a trošak procjena, </w:t>
      </w:r>
      <w:r>
        <w:rPr>
          <w:rFonts w:ascii="Tahoma" w:hAnsi="Tahoma" w:cs="Tahoma"/>
          <w:i/>
        </w:rPr>
        <w:t>izrada početne stečajne bilance je jednokratni trošak.</w:t>
      </w:r>
    </w:p>
    <w:p w:rsidR="000D54E5" w:rsidRDefault="000D54E5">
      <w:pPr>
        <w:pStyle w:val="Standard"/>
        <w:spacing w:line="288" w:lineRule="auto"/>
        <w:ind w:left="142"/>
        <w:rPr>
          <w:rFonts w:ascii="Tahoma" w:hAnsi="Tahoma" w:cs="Tahoma"/>
          <w:i/>
        </w:rPr>
      </w:pPr>
    </w:p>
    <w:p w:rsidR="000D54E5" w:rsidRDefault="00E16BAA">
      <w:pPr>
        <w:pStyle w:val="Standard"/>
        <w:spacing w:line="288" w:lineRule="auto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  <w:t>Stečajni upravitelj Zvonko Hrain</w:t>
      </w:r>
    </w:p>
    <w:p w:rsidR="000D54E5" w:rsidRDefault="00E16BAA">
      <w:pPr>
        <w:pStyle w:val="Standard"/>
        <w:spacing w:line="288" w:lineRule="auto"/>
        <w:ind w:left="142"/>
      </w:pPr>
      <w:r>
        <w:rPr>
          <w:rFonts w:ascii="Tahoma" w:hAnsi="Tahoma" w:cs="Tahoma"/>
          <w:i/>
        </w:rPr>
        <w:t>Varaždin, 02.04.2018.</w:t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  <w:r>
        <w:rPr>
          <w:rFonts w:ascii="Tahoma" w:hAnsi="Tahoma" w:cs="Tahoma"/>
          <w:i/>
        </w:rPr>
        <w:tab/>
      </w: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E16BAA">
      <w:pPr>
        <w:pStyle w:val="Standard"/>
        <w:tabs>
          <w:tab w:val="left" w:pos="5798"/>
        </w:tabs>
        <w:spacing w:line="264" w:lineRule="auto"/>
        <w:jc w:val="both"/>
        <w:rPr>
          <w:b/>
        </w:rPr>
      </w:pPr>
      <w:r>
        <w:rPr>
          <w:b/>
        </w:rPr>
        <w:tab/>
      </w: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  <w:spacing w:line="264" w:lineRule="auto"/>
        <w:jc w:val="both"/>
        <w:rPr>
          <w:b/>
        </w:rPr>
      </w:pPr>
    </w:p>
    <w:p w:rsidR="000D54E5" w:rsidRDefault="000D54E5">
      <w:pPr>
        <w:pStyle w:val="Standard"/>
      </w:pPr>
    </w:p>
    <w:sectPr w:rsidR="000D54E5">
      <w:headerReference w:type="default" r:id="rId8"/>
      <w:pgSz w:w="11906" w:h="16838"/>
      <w:pgMar w:top="1134" w:right="1134" w:bottom="72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16BAA">
      <w:pPr>
        <w:spacing w:after="0" w:line="240" w:lineRule="auto"/>
      </w:pPr>
      <w:r>
        <w:separator/>
      </w:r>
    </w:p>
  </w:endnote>
  <w:endnote w:type="continuationSeparator" w:id="0">
    <w:p w:rsidR="00000000" w:rsidRDefault="00E16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ndale Sans UI"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16BA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000000" w:rsidRDefault="00E16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243" w:rsidRDefault="00E16BAA">
    <w:pPr>
      <w:widowControl/>
      <w:suppressAutoHyphens w:val="0"/>
      <w:spacing w:after="0" w:line="240" w:lineRule="auto"/>
      <w:jc w:val="center"/>
      <w:textAlignment w:val="auto"/>
      <w:rPr>
        <w:rFonts w:ascii="Tahoma" w:eastAsia="Times New Roman" w:hAnsi="Tahoma" w:cs="Tahoma"/>
        <w:b/>
        <w:kern w:val="0"/>
        <w:sz w:val="28"/>
        <w:szCs w:val="28"/>
        <w:lang w:eastAsia="hr-HR" w:bidi="ar-SA"/>
      </w:rPr>
    </w:pPr>
    <w:r>
      <w:rPr>
        <w:rFonts w:ascii="Tahoma" w:eastAsia="Times New Roman" w:hAnsi="Tahoma" w:cs="Tahoma"/>
        <w:b/>
        <w:kern w:val="0"/>
        <w:sz w:val="28"/>
        <w:szCs w:val="28"/>
        <w:lang w:eastAsia="hr-HR" w:bidi="ar-SA"/>
      </w:rPr>
      <w:t>VIG d.o.o. u stečaju</w:t>
    </w:r>
  </w:p>
  <w:p w:rsidR="00F66243" w:rsidRDefault="00E16BAA">
    <w:pPr>
      <w:widowControl/>
      <w:suppressAutoHyphens w:val="0"/>
      <w:spacing w:after="0" w:line="240" w:lineRule="auto"/>
      <w:jc w:val="center"/>
      <w:textAlignment w:val="auto"/>
      <w:rPr>
        <w:rFonts w:ascii="Tahoma" w:eastAsia="Times New Roman" w:hAnsi="Tahoma" w:cs="Tahoma"/>
        <w:b/>
        <w:kern w:val="0"/>
        <w:sz w:val="28"/>
        <w:szCs w:val="28"/>
        <w:lang w:eastAsia="hr-HR" w:bidi="ar-SA"/>
      </w:rPr>
    </w:pPr>
    <w:r>
      <w:rPr>
        <w:rFonts w:ascii="Tahoma" w:eastAsia="Times New Roman" w:hAnsi="Tahoma" w:cs="Tahoma"/>
        <w:b/>
        <w:kern w:val="0"/>
        <w:sz w:val="28"/>
        <w:szCs w:val="28"/>
        <w:lang w:eastAsia="hr-HR" w:bidi="ar-SA"/>
      </w:rPr>
      <w:t>OIB: 03622911587</w:t>
    </w:r>
  </w:p>
  <w:p w:rsidR="00F66243" w:rsidRDefault="00E16BAA">
    <w:pPr>
      <w:widowControl/>
      <w:pBdr>
        <w:bottom w:val="single" w:sz="12" w:space="1" w:color="000000"/>
      </w:pBdr>
      <w:suppressAutoHyphens w:val="0"/>
      <w:spacing w:after="0" w:line="240" w:lineRule="auto"/>
      <w:jc w:val="center"/>
      <w:textAlignment w:val="auto"/>
      <w:rPr>
        <w:rFonts w:ascii="Tahoma" w:eastAsia="Times New Roman" w:hAnsi="Tahoma" w:cs="Tahoma"/>
        <w:b/>
        <w:kern w:val="0"/>
        <w:sz w:val="28"/>
        <w:szCs w:val="28"/>
        <w:lang w:eastAsia="hr-HR" w:bidi="ar-SA"/>
      </w:rPr>
    </w:pPr>
    <w:r>
      <w:rPr>
        <w:rFonts w:ascii="Tahoma" w:eastAsia="Times New Roman" w:hAnsi="Tahoma" w:cs="Tahoma"/>
        <w:b/>
        <w:kern w:val="0"/>
        <w:sz w:val="28"/>
        <w:szCs w:val="28"/>
        <w:lang w:eastAsia="hr-HR" w:bidi="ar-SA"/>
      </w:rPr>
      <w:t>Stečajni upravitelj: Zvonko Hrain</w:t>
    </w:r>
  </w:p>
  <w:p w:rsidR="00F66243" w:rsidRDefault="00E16BAA">
    <w:pPr>
      <w:widowControl/>
      <w:pBdr>
        <w:bottom w:val="single" w:sz="12" w:space="1" w:color="000000"/>
      </w:pBdr>
      <w:suppressAutoHyphens w:val="0"/>
      <w:spacing w:after="0" w:line="240" w:lineRule="auto"/>
      <w:jc w:val="center"/>
      <w:textAlignment w:val="auto"/>
      <w:rPr>
        <w:rFonts w:ascii="Tahoma" w:eastAsia="Times New Roman" w:hAnsi="Tahoma" w:cs="Tahoma"/>
        <w:b/>
        <w:kern w:val="0"/>
        <w:sz w:val="28"/>
        <w:szCs w:val="28"/>
        <w:lang w:eastAsia="hr-HR" w:bidi="ar-SA"/>
      </w:rPr>
    </w:pPr>
    <w:r>
      <w:rPr>
        <w:rFonts w:ascii="Tahoma" w:eastAsia="Times New Roman" w:hAnsi="Tahoma" w:cs="Tahoma"/>
        <w:b/>
        <w:kern w:val="0"/>
        <w:sz w:val="28"/>
        <w:szCs w:val="28"/>
        <w:lang w:eastAsia="hr-HR" w:bidi="ar-SA"/>
      </w:rPr>
      <w:t>42000 Varaždin, Zagrebačka 51</w:t>
    </w:r>
  </w:p>
  <w:p w:rsidR="00F66243" w:rsidRDefault="00E16BAA">
    <w:pPr>
      <w:widowControl/>
      <w:pBdr>
        <w:bottom w:val="single" w:sz="12" w:space="1" w:color="000000"/>
      </w:pBdr>
      <w:suppressAutoHyphens w:val="0"/>
      <w:spacing w:after="0" w:line="240" w:lineRule="auto"/>
      <w:jc w:val="center"/>
      <w:textAlignment w:val="auto"/>
      <w:rPr>
        <w:rFonts w:ascii="Arial Narrow" w:eastAsia="Times New Roman" w:hAnsi="Arial Narrow" w:cs="Times New Roman"/>
        <w:b/>
        <w:kern w:val="0"/>
        <w:sz w:val="28"/>
        <w:szCs w:val="28"/>
        <w:lang w:eastAsia="hr-HR" w:bidi="ar-SA"/>
      </w:rPr>
    </w:pPr>
  </w:p>
  <w:p w:rsidR="00F66243" w:rsidRDefault="00E16BAA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01858"/>
    <w:multiLevelType w:val="multilevel"/>
    <w:tmpl w:val="1EA28E32"/>
    <w:styleLink w:val="WWNum1"/>
    <w:lvl w:ilvl="0">
      <w:numFmt w:val="bullet"/>
      <w:lvlText w:val="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6CE4194"/>
    <w:multiLevelType w:val="multilevel"/>
    <w:tmpl w:val="0AD4B5AA"/>
    <w:styleLink w:val="WWNum5"/>
    <w:lvl w:ilvl="0">
      <w:start w:val="1"/>
      <w:numFmt w:val="decimal"/>
      <w:lvlText w:val="%1."/>
      <w:lvlJc w:val="left"/>
      <w:pPr>
        <w:ind w:left="435" w:hanging="360"/>
      </w:p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07EA4D75"/>
    <w:multiLevelType w:val="multilevel"/>
    <w:tmpl w:val="7E642452"/>
    <w:styleLink w:val="WWNum13"/>
    <w:lvl w:ilvl="0">
      <w:numFmt w:val="bullet"/>
      <w:lvlText w:val=""/>
      <w:lvlJc w:val="left"/>
      <w:pPr>
        <w:ind w:left="64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218511D"/>
    <w:multiLevelType w:val="multilevel"/>
    <w:tmpl w:val="305EF472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1300151C"/>
    <w:multiLevelType w:val="multilevel"/>
    <w:tmpl w:val="ED28AC0C"/>
    <w:styleLink w:val="WWNum3"/>
    <w:lvl w:ilvl="0">
      <w:numFmt w:val="bullet"/>
      <w:lvlText w:val="•"/>
      <w:lvlJc w:val="left"/>
      <w:pPr>
        <w:ind w:left="720" w:hanging="360"/>
      </w:pPr>
      <w:rPr>
        <w:rFonts w:ascii="Tahoma" w:eastAsia="Calibri" w:hAnsi="Tahoma" w:cs="Tahom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14425270"/>
    <w:multiLevelType w:val="multilevel"/>
    <w:tmpl w:val="AB0A2CB0"/>
    <w:styleLink w:val="WWNum21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1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1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6B5838"/>
    <w:multiLevelType w:val="multilevel"/>
    <w:tmpl w:val="43E0341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1B595F8A"/>
    <w:multiLevelType w:val="multilevel"/>
    <w:tmpl w:val="123E40E8"/>
    <w:styleLink w:val="WWNum11"/>
    <w:lvl w:ilvl="0">
      <w:numFmt w:val="bullet"/>
      <w:lvlText w:val=""/>
      <w:lvlJc w:val="left"/>
      <w:pPr>
        <w:ind w:left="78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50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2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4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6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8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0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2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47" w:hanging="360"/>
      </w:pPr>
      <w:rPr>
        <w:rFonts w:ascii="Wingdings" w:hAnsi="Wingdings"/>
      </w:rPr>
    </w:lvl>
  </w:abstractNum>
  <w:abstractNum w:abstractNumId="8">
    <w:nsid w:val="1ECE6AF3"/>
    <w:multiLevelType w:val="multilevel"/>
    <w:tmpl w:val="775A4CD6"/>
    <w:styleLink w:val="WWNum2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256D0B94"/>
    <w:multiLevelType w:val="multilevel"/>
    <w:tmpl w:val="B3D0CF78"/>
    <w:styleLink w:val="WWNum19"/>
    <w:lvl w:ilvl="0">
      <w:numFmt w:val="bullet"/>
      <w:lvlText w:val="-"/>
      <w:lvlJc w:val="left"/>
      <w:pPr>
        <w:ind w:left="360" w:hanging="360"/>
      </w:pPr>
      <w:rPr>
        <w:rFonts w:ascii="Tahoma" w:hAnsi="Tahoma" w:cs="Calibr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1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B2F675E"/>
    <w:multiLevelType w:val="multilevel"/>
    <w:tmpl w:val="C30409E0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2C4C1141"/>
    <w:multiLevelType w:val="multilevel"/>
    <w:tmpl w:val="16B6CCAC"/>
    <w:styleLink w:val="WWNum16"/>
    <w:lvl w:ilvl="0">
      <w:numFmt w:val="bullet"/>
      <w:lvlText w:val="-"/>
      <w:lvlJc w:val="left"/>
      <w:pPr>
        <w:ind w:left="644" w:hanging="360"/>
      </w:pPr>
      <w:rPr>
        <w:rFonts w:ascii="Tahoma" w:hAnsi="Tahoma" w:cs="Calibri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1FD072D"/>
    <w:multiLevelType w:val="multilevel"/>
    <w:tmpl w:val="D186AF3E"/>
    <w:styleLink w:val="WWNum17"/>
    <w:lvl w:ilvl="0">
      <w:numFmt w:val="bullet"/>
      <w:lvlText w:val="-"/>
      <w:lvlJc w:val="left"/>
      <w:pPr>
        <w:ind w:left="360" w:hanging="360"/>
      </w:pPr>
      <w:rPr>
        <w:rFonts w:ascii="Tahoma" w:hAnsi="Tahoma" w:cs="Calibr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1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65E7DAC"/>
    <w:multiLevelType w:val="multilevel"/>
    <w:tmpl w:val="00109EF6"/>
    <w:styleLink w:val="WWNum2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39355FCC"/>
    <w:multiLevelType w:val="multilevel"/>
    <w:tmpl w:val="B18CCDD4"/>
    <w:styleLink w:val="WWNum9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15">
    <w:nsid w:val="3B7361A0"/>
    <w:multiLevelType w:val="multilevel"/>
    <w:tmpl w:val="E78C759A"/>
    <w:styleLink w:val="WWNum2"/>
    <w:lvl w:ilvl="0">
      <w:start w:val="1"/>
      <w:numFmt w:val="lowerLetter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2EA4B6E"/>
    <w:multiLevelType w:val="multilevel"/>
    <w:tmpl w:val="25626306"/>
    <w:styleLink w:val="WWNum18"/>
    <w:lvl w:ilvl="0">
      <w:numFmt w:val="bullet"/>
      <w:lvlText w:val="-"/>
      <w:lvlJc w:val="left"/>
      <w:pPr>
        <w:ind w:left="360" w:hanging="360"/>
      </w:pPr>
      <w:rPr>
        <w:rFonts w:ascii="Tahoma" w:hAnsi="Tahoma" w:cs="Calibri"/>
        <w:i w:val="0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1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4541783"/>
    <w:multiLevelType w:val="multilevel"/>
    <w:tmpl w:val="8724E456"/>
    <w:styleLink w:val="WWNum28"/>
    <w:lvl w:ilvl="0">
      <w:numFmt w:val="bullet"/>
      <w:lvlText w:val=""/>
      <w:lvlJc w:val="left"/>
      <w:pPr>
        <w:ind w:left="115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10" w:hanging="360"/>
      </w:pPr>
      <w:rPr>
        <w:rFonts w:ascii="Wingdings" w:hAnsi="Wingdings"/>
      </w:rPr>
    </w:lvl>
  </w:abstractNum>
  <w:abstractNum w:abstractNumId="18">
    <w:nsid w:val="55A723FA"/>
    <w:multiLevelType w:val="multilevel"/>
    <w:tmpl w:val="DEB20F9A"/>
    <w:styleLink w:val="WWNum7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9">
    <w:nsid w:val="563443BB"/>
    <w:multiLevelType w:val="multilevel"/>
    <w:tmpl w:val="32D2FB9A"/>
    <w:styleLink w:val="WWNum26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0">
    <w:nsid w:val="5ED1380E"/>
    <w:multiLevelType w:val="multilevel"/>
    <w:tmpl w:val="426CA3C6"/>
    <w:styleLink w:val="WWNum15"/>
    <w:lvl w:ilvl="0">
      <w:start w:val="1"/>
      <w:numFmt w:val="decimal"/>
      <w:lvlText w:val="%1."/>
      <w:lvlJc w:val="left"/>
      <w:pPr>
        <w:ind w:left="36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1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F41111F"/>
    <w:multiLevelType w:val="multilevel"/>
    <w:tmpl w:val="00D89EB4"/>
    <w:styleLink w:val="WW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2">
    <w:nsid w:val="5FDA6DBE"/>
    <w:multiLevelType w:val="multilevel"/>
    <w:tmpl w:val="A7E6B9AA"/>
    <w:styleLink w:val="WWNum2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nsid w:val="5FF46656"/>
    <w:multiLevelType w:val="multilevel"/>
    <w:tmpl w:val="686EBE36"/>
    <w:styleLink w:val="WWNum22"/>
    <w:lvl w:ilvl="0"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4">
    <w:nsid w:val="62FC2D2F"/>
    <w:multiLevelType w:val="multilevel"/>
    <w:tmpl w:val="2E804EA6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"/>
      <w:lvlJc w:val="left"/>
      <w:pPr>
        <w:ind w:left="928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nsid w:val="644E4B7D"/>
    <w:multiLevelType w:val="multilevel"/>
    <w:tmpl w:val="96BEA5F6"/>
    <w:styleLink w:val="WWNum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26">
    <w:nsid w:val="65E5405B"/>
    <w:multiLevelType w:val="multilevel"/>
    <w:tmpl w:val="557CD31A"/>
    <w:styleLink w:val="WWNum1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553"/>
      <w:numFmt w:val="decimal"/>
      <w:lvlText w:val="%1.%2"/>
      <w:lvlJc w:val="left"/>
      <w:pPr>
        <w:ind w:left="1095" w:hanging="1095"/>
      </w:pPr>
    </w:lvl>
    <w:lvl w:ilvl="2">
      <w:start w:val="820"/>
      <w:numFmt w:val="decimal"/>
      <w:lvlText w:val="%1.%2.%3"/>
      <w:lvlJc w:val="left"/>
      <w:pPr>
        <w:ind w:left="1095" w:hanging="1095"/>
      </w:pPr>
    </w:lvl>
    <w:lvl w:ilvl="3">
      <w:start w:val="1"/>
      <w:numFmt w:val="decimal"/>
      <w:lvlText w:val="%1.%2.%3.%4"/>
      <w:lvlJc w:val="left"/>
      <w:pPr>
        <w:ind w:left="1095" w:hanging="1095"/>
      </w:pPr>
    </w:lvl>
    <w:lvl w:ilvl="4">
      <w:start w:val="1"/>
      <w:numFmt w:val="decimal"/>
      <w:lvlText w:val="%1.%2.%3.%4.%5"/>
      <w:lvlJc w:val="left"/>
      <w:pPr>
        <w:ind w:left="1095" w:hanging="1095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7">
    <w:nsid w:val="70430A07"/>
    <w:multiLevelType w:val="multilevel"/>
    <w:tmpl w:val="A3080726"/>
    <w:styleLink w:val="WWNum14"/>
    <w:lvl w:ilvl="0">
      <w:numFmt w:val="bullet"/>
      <w:lvlText w:val="-"/>
      <w:lvlJc w:val="left"/>
      <w:pPr>
        <w:ind w:left="435" w:hanging="360"/>
      </w:pPr>
      <w:rPr>
        <w:rFonts w:ascii="Tahoma" w:hAnsi="Tahoma" w:cs="Calibri"/>
      </w:rPr>
    </w:lvl>
    <w:lvl w:ilvl="1">
      <w:numFmt w:val="bullet"/>
      <w:lvlText w:val="o"/>
      <w:lvlJc w:val="left"/>
      <w:pPr>
        <w:ind w:left="115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7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9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1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3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75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7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95" w:hanging="360"/>
      </w:pPr>
      <w:rPr>
        <w:rFonts w:ascii="Wingdings" w:hAnsi="Wingdings"/>
      </w:rPr>
    </w:lvl>
  </w:abstractNum>
  <w:abstractNum w:abstractNumId="28">
    <w:nsid w:val="742919D1"/>
    <w:multiLevelType w:val="multilevel"/>
    <w:tmpl w:val="46B28CFC"/>
    <w:styleLink w:val="WWNum20"/>
    <w:lvl w:ilvl="0">
      <w:numFmt w:val="bullet"/>
      <w:lvlText w:val="-"/>
      <w:lvlJc w:val="left"/>
      <w:pPr>
        <w:ind w:left="720" w:hanging="360"/>
      </w:pPr>
      <w:rPr>
        <w:rFonts w:ascii="Tahoma" w:hAnsi="Tahoma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ind w:left="502" w:hanging="360"/>
      </w:pPr>
      <w:rPr>
        <w:b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>
    <w:nsid w:val="7A0A145B"/>
    <w:multiLevelType w:val="multilevel"/>
    <w:tmpl w:val="3C1ED900"/>
    <w:styleLink w:val="WWNum2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5"/>
  </w:num>
  <w:num w:numId="3">
    <w:abstractNumId w:val="4"/>
  </w:num>
  <w:num w:numId="4">
    <w:abstractNumId w:val="21"/>
  </w:num>
  <w:num w:numId="5">
    <w:abstractNumId w:val="1"/>
  </w:num>
  <w:num w:numId="6">
    <w:abstractNumId w:val="24"/>
  </w:num>
  <w:num w:numId="7">
    <w:abstractNumId w:val="18"/>
  </w:num>
  <w:num w:numId="8">
    <w:abstractNumId w:val="25"/>
  </w:num>
  <w:num w:numId="9">
    <w:abstractNumId w:val="14"/>
  </w:num>
  <w:num w:numId="10">
    <w:abstractNumId w:val="26"/>
  </w:num>
  <w:num w:numId="11">
    <w:abstractNumId w:val="7"/>
  </w:num>
  <w:num w:numId="12">
    <w:abstractNumId w:val="10"/>
  </w:num>
  <w:num w:numId="13">
    <w:abstractNumId w:val="2"/>
  </w:num>
  <w:num w:numId="14">
    <w:abstractNumId w:val="27"/>
  </w:num>
  <w:num w:numId="15">
    <w:abstractNumId w:val="20"/>
  </w:num>
  <w:num w:numId="16">
    <w:abstractNumId w:val="11"/>
  </w:num>
  <w:num w:numId="17">
    <w:abstractNumId w:val="12"/>
  </w:num>
  <w:num w:numId="18">
    <w:abstractNumId w:val="16"/>
  </w:num>
  <w:num w:numId="19">
    <w:abstractNumId w:val="9"/>
  </w:num>
  <w:num w:numId="20">
    <w:abstractNumId w:val="28"/>
  </w:num>
  <w:num w:numId="21">
    <w:abstractNumId w:val="5"/>
  </w:num>
  <w:num w:numId="22">
    <w:abstractNumId w:val="23"/>
  </w:num>
  <w:num w:numId="23">
    <w:abstractNumId w:val="22"/>
  </w:num>
  <w:num w:numId="24">
    <w:abstractNumId w:val="3"/>
  </w:num>
  <w:num w:numId="25">
    <w:abstractNumId w:val="13"/>
  </w:num>
  <w:num w:numId="26">
    <w:abstractNumId w:val="19"/>
  </w:num>
  <w:num w:numId="27">
    <w:abstractNumId w:val="29"/>
  </w:num>
  <w:num w:numId="28">
    <w:abstractNumId w:val="17"/>
  </w:num>
  <w:num w:numId="29">
    <w:abstractNumId w:val="8"/>
  </w:num>
  <w:num w:numId="30">
    <w:abstractNumId w:val="4"/>
    <w:lvlOverride w:ilvl="0"/>
  </w:num>
  <w:num w:numId="31">
    <w:abstractNumId w:val="6"/>
  </w:num>
  <w:num w:numId="32">
    <w:abstractNumId w:val="22"/>
    <w:lvlOverride w:ilvl="0"/>
  </w:num>
  <w:num w:numId="33">
    <w:abstractNumId w:val="13"/>
    <w:lvlOverride w:ilvl="0"/>
  </w:num>
  <w:num w:numId="34">
    <w:abstractNumId w:val="14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0D54E5"/>
    <w:rsid w:val="000D54E5"/>
    <w:rsid w:val="00E1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Opisslike">
    <w:name w:val="caption"/>
    <w:basedOn w:val="Standard"/>
    <w:pPr>
      <w:suppressLineNumbers/>
      <w:suppressAutoHyphen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Podnoje">
    <w:name w:val="footer"/>
    <w:basedOn w:val="Standard"/>
    <w:pPr>
      <w:tabs>
        <w:tab w:val="center" w:pos="4536"/>
        <w:tab w:val="right" w:pos="9072"/>
      </w:tabs>
      <w:suppressAutoHyphens/>
      <w:spacing w:after="0" w:line="240" w:lineRule="auto"/>
    </w:pPr>
  </w:style>
  <w:style w:type="paragraph" w:styleId="Odlomakpopisa">
    <w:name w:val="List Paragraph"/>
    <w:basedOn w:val="Standard"/>
    <w:pPr>
      <w:suppressAutoHyphens/>
      <w:ind w:left="720"/>
    </w:pPr>
  </w:style>
  <w:style w:type="paragraph" w:customStyle="1" w:styleId="TableContents">
    <w:name w:val="Table Contents"/>
    <w:basedOn w:val="Standard"/>
    <w:pPr>
      <w:suppressLineNumbers/>
      <w:suppressAutoHyphens/>
    </w:pPr>
  </w:style>
  <w:style w:type="paragraph" w:styleId="Tekstbalonia">
    <w:name w:val="Balloon Text"/>
    <w:basedOn w:val="Normal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Zadanifontodlomka"/>
    <w:rPr>
      <w:rFonts w:ascii="Segoe UI" w:hAnsi="Segoe UI"/>
      <w:sz w:val="18"/>
      <w:szCs w:val="16"/>
    </w:rPr>
  </w:style>
  <w:style w:type="character" w:styleId="Istaknuto">
    <w:name w:val="Emphasis"/>
    <w:rPr>
      <w:i/>
      <w:iCs/>
    </w:rPr>
  </w:style>
  <w:style w:type="character" w:customStyle="1" w:styleId="ListLabel7">
    <w:name w:val="ListLabel 7"/>
    <w:rPr>
      <w:b/>
    </w:rPr>
  </w:style>
  <w:style w:type="character" w:customStyle="1" w:styleId="ListLabel6">
    <w:name w:val="ListLabel 6"/>
    <w:rPr>
      <w:rFonts w:cs="Calibri"/>
      <w:i w:val="0"/>
      <w:u w:val="none"/>
    </w:rPr>
  </w:style>
  <w:style w:type="character" w:customStyle="1" w:styleId="ListLabel5">
    <w:name w:val="ListLabel 5"/>
    <w:rPr>
      <w:i w:val="0"/>
      <w:u w:val="none"/>
    </w:rPr>
  </w:style>
  <w:style w:type="character" w:customStyle="1" w:styleId="ListLabel4">
    <w:name w:val="ListLabel 4"/>
    <w:rPr>
      <w:rFonts w:cs="Calibri"/>
    </w:rPr>
  </w:style>
  <w:style w:type="character" w:customStyle="1" w:styleId="ListLabel3">
    <w:name w:val="ListLabel 3"/>
    <w:rPr>
      <w:b w:val="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1">
    <w:name w:val="ListLabel 1"/>
    <w:rPr>
      <w:rFonts w:eastAsia="Calibri" w:cs="Tahoma"/>
    </w:rPr>
  </w:style>
  <w:style w:type="character" w:customStyle="1" w:styleId="PodnojeChar">
    <w:name w:val="Podnožje Char"/>
    <w:basedOn w:val="Zadanifontodlomka"/>
  </w:style>
  <w:style w:type="character" w:customStyle="1" w:styleId="ZaglavljeChar">
    <w:name w:val="Zaglavlje Char"/>
    <w:basedOn w:val="Zadanifontodlomka"/>
  </w:style>
  <w:style w:type="character" w:styleId="Naglaeno">
    <w:name w:val="Strong"/>
    <w:basedOn w:val="Zadanifontodlomka"/>
    <w:rPr>
      <w:b/>
      <w:bCs/>
    </w:rPr>
  </w:style>
  <w:style w:type="character" w:customStyle="1" w:styleId="TekstbaloniaChar">
    <w:name w:val="Tekst balončića Char"/>
    <w:rPr>
      <w:rFonts w:ascii="Tahoma" w:hAnsi="Tahoma" w:cs="Tahoma"/>
      <w:sz w:val="16"/>
      <w:szCs w:val="16"/>
    </w:rPr>
  </w:style>
  <w:style w:type="numbering" w:customStyle="1" w:styleId="WWNum1">
    <w:name w:val="WWNum1"/>
    <w:basedOn w:val="Bezpopisa"/>
    <w:pPr>
      <w:numPr>
        <w:numId w:val="1"/>
      </w:numPr>
    </w:pPr>
  </w:style>
  <w:style w:type="numbering" w:customStyle="1" w:styleId="WWNum2">
    <w:name w:val="WWNum2"/>
    <w:basedOn w:val="Bezpopisa"/>
    <w:pPr>
      <w:numPr>
        <w:numId w:val="2"/>
      </w:numPr>
    </w:pPr>
  </w:style>
  <w:style w:type="numbering" w:customStyle="1" w:styleId="WWNum3">
    <w:name w:val="WWNum3"/>
    <w:basedOn w:val="Bezpopisa"/>
    <w:pPr>
      <w:numPr>
        <w:numId w:val="3"/>
      </w:numPr>
    </w:pPr>
  </w:style>
  <w:style w:type="numbering" w:customStyle="1" w:styleId="WWNum4">
    <w:name w:val="WWNum4"/>
    <w:basedOn w:val="Bezpopisa"/>
    <w:pPr>
      <w:numPr>
        <w:numId w:val="4"/>
      </w:numPr>
    </w:pPr>
  </w:style>
  <w:style w:type="numbering" w:customStyle="1" w:styleId="WWNum5">
    <w:name w:val="WWNum5"/>
    <w:basedOn w:val="Bezpopisa"/>
    <w:pPr>
      <w:numPr>
        <w:numId w:val="5"/>
      </w:numPr>
    </w:pPr>
  </w:style>
  <w:style w:type="numbering" w:customStyle="1" w:styleId="WWNum6">
    <w:name w:val="WWNum6"/>
    <w:basedOn w:val="Bezpopisa"/>
    <w:pPr>
      <w:numPr>
        <w:numId w:val="6"/>
      </w:numPr>
    </w:pPr>
  </w:style>
  <w:style w:type="numbering" w:customStyle="1" w:styleId="WWNum7">
    <w:name w:val="WWNum7"/>
    <w:basedOn w:val="Bezpopisa"/>
    <w:pPr>
      <w:numPr>
        <w:numId w:val="7"/>
      </w:numPr>
    </w:pPr>
  </w:style>
  <w:style w:type="numbering" w:customStyle="1" w:styleId="WWNum8">
    <w:name w:val="WWNum8"/>
    <w:basedOn w:val="Bezpopisa"/>
    <w:pPr>
      <w:numPr>
        <w:numId w:val="8"/>
      </w:numPr>
    </w:pPr>
  </w:style>
  <w:style w:type="numbering" w:customStyle="1" w:styleId="WWNum9">
    <w:name w:val="WWNum9"/>
    <w:basedOn w:val="Bezpopisa"/>
    <w:pPr>
      <w:numPr>
        <w:numId w:val="9"/>
      </w:numPr>
    </w:pPr>
  </w:style>
  <w:style w:type="numbering" w:customStyle="1" w:styleId="WWNum10">
    <w:name w:val="WWNum10"/>
    <w:basedOn w:val="Bezpopisa"/>
    <w:pPr>
      <w:numPr>
        <w:numId w:val="10"/>
      </w:numPr>
    </w:pPr>
  </w:style>
  <w:style w:type="numbering" w:customStyle="1" w:styleId="WWNum11">
    <w:name w:val="WWNum11"/>
    <w:basedOn w:val="Bezpopisa"/>
    <w:pPr>
      <w:numPr>
        <w:numId w:val="11"/>
      </w:numPr>
    </w:pPr>
  </w:style>
  <w:style w:type="numbering" w:customStyle="1" w:styleId="WWNum12">
    <w:name w:val="WWNum12"/>
    <w:basedOn w:val="Bezpopisa"/>
    <w:pPr>
      <w:numPr>
        <w:numId w:val="12"/>
      </w:numPr>
    </w:pPr>
  </w:style>
  <w:style w:type="numbering" w:customStyle="1" w:styleId="WWNum13">
    <w:name w:val="WWNum13"/>
    <w:basedOn w:val="Bezpopisa"/>
    <w:pPr>
      <w:numPr>
        <w:numId w:val="13"/>
      </w:numPr>
    </w:pPr>
  </w:style>
  <w:style w:type="numbering" w:customStyle="1" w:styleId="WWNum14">
    <w:name w:val="WWNum14"/>
    <w:basedOn w:val="Bezpopisa"/>
    <w:pPr>
      <w:numPr>
        <w:numId w:val="14"/>
      </w:numPr>
    </w:pPr>
  </w:style>
  <w:style w:type="numbering" w:customStyle="1" w:styleId="WWNum15">
    <w:name w:val="WWNum15"/>
    <w:basedOn w:val="Bezpopisa"/>
    <w:pPr>
      <w:numPr>
        <w:numId w:val="15"/>
      </w:numPr>
    </w:pPr>
  </w:style>
  <w:style w:type="numbering" w:customStyle="1" w:styleId="WWNum16">
    <w:name w:val="WWNum16"/>
    <w:basedOn w:val="Bezpopisa"/>
    <w:pPr>
      <w:numPr>
        <w:numId w:val="16"/>
      </w:numPr>
    </w:pPr>
  </w:style>
  <w:style w:type="numbering" w:customStyle="1" w:styleId="WWNum17">
    <w:name w:val="WWNum17"/>
    <w:basedOn w:val="Bezpopisa"/>
    <w:pPr>
      <w:numPr>
        <w:numId w:val="17"/>
      </w:numPr>
    </w:pPr>
  </w:style>
  <w:style w:type="numbering" w:customStyle="1" w:styleId="WWNum18">
    <w:name w:val="WWNum18"/>
    <w:basedOn w:val="Bezpopisa"/>
    <w:pPr>
      <w:numPr>
        <w:numId w:val="18"/>
      </w:numPr>
    </w:pPr>
  </w:style>
  <w:style w:type="numbering" w:customStyle="1" w:styleId="WWNum19">
    <w:name w:val="WWNum19"/>
    <w:basedOn w:val="Bezpopisa"/>
    <w:pPr>
      <w:numPr>
        <w:numId w:val="19"/>
      </w:numPr>
    </w:pPr>
  </w:style>
  <w:style w:type="numbering" w:customStyle="1" w:styleId="WWNum20">
    <w:name w:val="WWNum20"/>
    <w:basedOn w:val="Bezpopisa"/>
    <w:pPr>
      <w:numPr>
        <w:numId w:val="20"/>
      </w:numPr>
    </w:pPr>
  </w:style>
  <w:style w:type="numbering" w:customStyle="1" w:styleId="WWNum21">
    <w:name w:val="WWNum21"/>
    <w:basedOn w:val="Bezpopisa"/>
    <w:pPr>
      <w:numPr>
        <w:numId w:val="21"/>
      </w:numPr>
    </w:pPr>
  </w:style>
  <w:style w:type="numbering" w:customStyle="1" w:styleId="WWNum22">
    <w:name w:val="WWNum22"/>
    <w:basedOn w:val="Bezpopisa"/>
    <w:pPr>
      <w:numPr>
        <w:numId w:val="22"/>
      </w:numPr>
    </w:pPr>
  </w:style>
  <w:style w:type="numbering" w:customStyle="1" w:styleId="WWNum23">
    <w:name w:val="WWNum23"/>
    <w:basedOn w:val="Bezpopisa"/>
    <w:pPr>
      <w:numPr>
        <w:numId w:val="23"/>
      </w:numPr>
    </w:pPr>
  </w:style>
  <w:style w:type="numbering" w:customStyle="1" w:styleId="WWNum24">
    <w:name w:val="WWNum24"/>
    <w:basedOn w:val="Bezpopisa"/>
    <w:pPr>
      <w:numPr>
        <w:numId w:val="24"/>
      </w:numPr>
    </w:pPr>
  </w:style>
  <w:style w:type="numbering" w:customStyle="1" w:styleId="WWNum25">
    <w:name w:val="WWNum25"/>
    <w:basedOn w:val="Bezpopisa"/>
    <w:pPr>
      <w:numPr>
        <w:numId w:val="25"/>
      </w:numPr>
    </w:pPr>
  </w:style>
  <w:style w:type="numbering" w:customStyle="1" w:styleId="WWNum26">
    <w:name w:val="WWNum26"/>
    <w:basedOn w:val="Bezpopisa"/>
    <w:pPr>
      <w:numPr>
        <w:numId w:val="26"/>
      </w:numPr>
    </w:pPr>
  </w:style>
  <w:style w:type="numbering" w:customStyle="1" w:styleId="WWNum27">
    <w:name w:val="WWNum27"/>
    <w:basedOn w:val="Bezpopisa"/>
    <w:pPr>
      <w:numPr>
        <w:numId w:val="27"/>
      </w:numPr>
    </w:pPr>
  </w:style>
  <w:style w:type="numbering" w:customStyle="1" w:styleId="WWNum28">
    <w:name w:val="WWNum28"/>
    <w:basedOn w:val="Bezpopisa"/>
    <w:pPr>
      <w:numPr>
        <w:numId w:val="28"/>
      </w:numPr>
    </w:pPr>
  </w:style>
  <w:style w:type="numbering" w:customStyle="1" w:styleId="WWNum29">
    <w:name w:val="WWNum29"/>
    <w:basedOn w:val="Bezpopisa"/>
    <w:pPr>
      <w:numPr>
        <w:numId w:val="2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Tahoma"/>
    </w:rPr>
  </w:style>
  <w:style w:type="paragraph" w:styleId="Opisslike">
    <w:name w:val="caption"/>
    <w:basedOn w:val="Standard"/>
    <w:pPr>
      <w:suppressLineNumbers/>
      <w:suppressAutoHyphen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Podnoje">
    <w:name w:val="footer"/>
    <w:basedOn w:val="Standard"/>
    <w:pPr>
      <w:tabs>
        <w:tab w:val="center" w:pos="4536"/>
        <w:tab w:val="right" w:pos="9072"/>
      </w:tabs>
      <w:suppressAutoHyphens/>
      <w:spacing w:after="0" w:line="240" w:lineRule="auto"/>
    </w:pPr>
  </w:style>
  <w:style w:type="paragraph" w:styleId="Odlomakpopisa">
    <w:name w:val="List Paragraph"/>
    <w:basedOn w:val="Standard"/>
    <w:pPr>
      <w:suppressAutoHyphens/>
      <w:ind w:left="720"/>
    </w:pPr>
  </w:style>
  <w:style w:type="paragraph" w:customStyle="1" w:styleId="TableContents">
    <w:name w:val="Table Contents"/>
    <w:basedOn w:val="Standard"/>
    <w:pPr>
      <w:suppressLineNumbers/>
      <w:suppressAutoHyphens/>
    </w:pPr>
  </w:style>
  <w:style w:type="paragraph" w:styleId="Tekstbalonia">
    <w:name w:val="Balloon Text"/>
    <w:basedOn w:val="Normal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Zadanifontodlomka"/>
    <w:rPr>
      <w:rFonts w:ascii="Segoe UI" w:hAnsi="Segoe UI"/>
      <w:sz w:val="18"/>
      <w:szCs w:val="16"/>
    </w:rPr>
  </w:style>
  <w:style w:type="character" w:styleId="Istaknuto">
    <w:name w:val="Emphasis"/>
    <w:rPr>
      <w:i/>
      <w:iCs/>
    </w:rPr>
  </w:style>
  <w:style w:type="character" w:customStyle="1" w:styleId="ListLabel7">
    <w:name w:val="ListLabel 7"/>
    <w:rPr>
      <w:b/>
    </w:rPr>
  </w:style>
  <w:style w:type="character" w:customStyle="1" w:styleId="ListLabel6">
    <w:name w:val="ListLabel 6"/>
    <w:rPr>
      <w:rFonts w:cs="Calibri"/>
      <w:i w:val="0"/>
      <w:u w:val="none"/>
    </w:rPr>
  </w:style>
  <w:style w:type="character" w:customStyle="1" w:styleId="ListLabel5">
    <w:name w:val="ListLabel 5"/>
    <w:rPr>
      <w:i w:val="0"/>
      <w:u w:val="none"/>
    </w:rPr>
  </w:style>
  <w:style w:type="character" w:customStyle="1" w:styleId="ListLabel4">
    <w:name w:val="ListLabel 4"/>
    <w:rPr>
      <w:rFonts w:cs="Calibri"/>
    </w:rPr>
  </w:style>
  <w:style w:type="character" w:customStyle="1" w:styleId="ListLabel3">
    <w:name w:val="ListLabel 3"/>
    <w:rPr>
      <w:b w:val="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1">
    <w:name w:val="ListLabel 1"/>
    <w:rPr>
      <w:rFonts w:eastAsia="Calibri" w:cs="Tahoma"/>
    </w:rPr>
  </w:style>
  <w:style w:type="character" w:customStyle="1" w:styleId="PodnojeChar">
    <w:name w:val="Podnožje Char"/>
    <w:basedOn w:val="Zadanifontodlomka"/>
  </w:style>
  <w:style w:type="character" w:customStyle="1" w:styleId="ZaglavljeChar">
    <w:name w:val="Zaglavlje Char"/>
    <w:basedOn w:val="Zadanifontodlomka"/>
  </w:style>
  <w:style w:type="character" w:styleId="Naglaeno">
    <w:name w:val="Strong"/>
    <w:basedOn w:val="Zadanifontodlomka"/>
    <w:rPr>
      <w:b/>
      <w:bCs/>
    </w:rPr>
  </w:style>
  <w:style w:type="character" w:customStyle="1" w:styleId="TekstbaloniaChar">
    <w:name w:val="Tekst balončića Char"/>
    <w:rPr>
      <w:rFonts w:ascii="Tahoma" w:hAnsi="Tahoma" w:cs="Tahoma"/>
      <w:sz w:val="16"/>
      <w:szCs w:val="16"/>
    </w:rPr>
  </w:style>
  <w:style w:type="numbering" w:customStyle="1" w:styleId="WWNum1">
    <w:name w:val="WWNum1"/>
    <w:basedOn w:val="Bezpopisa"/>
    <w:pPr>
      <w:numPr>
        <w:numId w:val="1"/>
      </w:numPr>
    </w:pPr>
  </w:style>
  <w:style w:type="numbering" w:customStyle="1" w:styleId="WWNum2">
    <w:name w:val="WWNum2"/>
    <w:basedOn w:val="Bezpopisa"/>
    <w:pPr>
      <w:numPr>
        <w:numId w:val="2"/>
      </w:numPr>
    </w:pPr>
  </w:style>
  <w:style w:type="numbering" w:customStyle="1" w:styleId="WWNum3">
    <w:name w:val="WWNum3"/>
    <w:basedOn w:val="Bezpopisa"/>
    <w:pPr>
      <w:numPr>
        <w:numId w:val="3"/>
      </w:numPr>
    </w:pPr>
  </w:style>
  <w:style w:type="numbering" w:customStyle="1" w:styleId="WWNum4">
    <w:name w:val="WWNum4"/>
    <w:basedOn w:val="Bezpopisa"/>
    <w:pPr>
      <w:numPr>
        <w:numId w:val="4"/>
      </w:numPr>
    </w:pPr>
  </w:style>
  <w:style w:type="numbering" w:customStyle="1" w:styleId="WWNum5">
    <w:name w:val="WWNum5"/>
    <w:basedOn w:val="Bezpopisa"/>
    <w:pPr>
      <w:numPr>
        <w:numId w:val="5"/>
      </w:numPr>
    </w:pPr>
  </w:style>
  <w:style w:type="numbering" w:customStyle="1" w:styleId="WWNum6">
    <w:name w:val="WWNum6"/>
    <w:basedOn w:val="Bezpopisa"/>
    <w:pPr>
      <w:numPr>
        <w:numId w:val="6"/>
      </w:numPr>
    </w:pPr>
  </w:style>
  <w:style w:type="numbering" w:customStyle="1" w:styleId="WWNum7">
    <w:name w:val="WWNum7"/>
    <w:basedOn w:val="Bezpopisa"/>
    <w:pPr>
      <w:numPr>
        <w:numId w:val="7"/>
      </w:numPr>
    </w:pPr>
  </w:style>
  <w:style w:type="numbering" w:customStyle="1" w:styleId="WWNum8">
    <w:name w:val="WWNum8"/>
    <w:basedOn w:val="Bezpopisa"/>
    <w:pPr>
      <w:numPr>
        <w:numId w:val="8"/>
      </w:numPr>
    </w:pPr>
  </w:style>
  <w:style w:type="numbering" w:customStyle="1" w:styleId="WWNum9">
    <w:name w:val="WWNum9"/>
    <w:basedOn w:val="Bezpopisa"/>
    <w:pPr>
      <w:numPr>
        <w:numId w:val="9"/>
      </w:numPr>
    </w:pPr>
  </w:style>
  <w:style w:type="numbering" w:customStyle="1" w:styleId="WWNum10">
    <w:name w:val="WWNum10"/>
    <w:basedOn w:val="Bezpopisa"/>
    <w:pPr>
      <w:numPr>
        <w:numId w:val="10"/>
      </w:numPr>
    </w:pPr>
  </w:style>
  <w:style w:type="numbering" w:customStyle="1" w:styleId="WWNum11">
    <w:name w:val="WWNum11"/>
    <w:basedOn w:val="Bezpopisa"/>
    <w:pPr>
      <w:numPr>
        <w:numId w:val="11"/>
      </w:numPr>
    </w:pPr>
  </w:style>
  <w:style w:type="numbering" w:customStyle="1" w:styleId="WWNum12">
    <w:name w:val="WWNum12"/>
    <w:basedOn w:val="Bezpopisa"/>
    <w:pPr>
      <w:numPr>
        <w:numId w:val="12"/>
      </w:numPr>
    </w:pPr>
  </w:style>
  <w:style w:type="numbering" w:customStyle="1" w:styleId="WWNum13">
    <w:name w:val="WWNum13"/>
    <w:basedOn w:val="Bezpopisa"/>
    <w:pPr>
      <w:numPr>
        <w:numId w:val="13"/>
      </w:numPr>
    </w:pPr>
  </w:style>
  <w:style w:type="numbering" w:customStyle="1" w:styleId="WWNum14">
    <w:name w:val="WWNum14"/>
    <w:basedOn w:val="Bezpopisa"/>
    <w:pPr>
      <w:numPr>
        <w:numId w:val="14"/>
      </w:numPr>
    </w:pPr>
  </w:style>
  <w:style w:type="numbering" w:customStyle="1" w:styleId="WWNum15">
    <w:name w:val="WWNum15"/>
    <w:basedOn w:val="Bezpopisa"/>
    <w:pPr>
      <w:numPr>
        <w:numId w:val="15"/>
      </w:numPr>
    </w:pPr>
  </w:style>
  <w:style w:type="numbering" w:customStyle="1" w:styleId="WWNum16">
    <w:name w:val="WWNum16"/>
    <w:basedOn w:val="Bezpopisa"/>
    <w:pPr>
      <w:numPr>
        <w:numId w:val="16"/>
      </w:numPr>
    </w:pPr>
  </w:style>
  <w:style w:type="numbering" w:customStyle="1" w:styleId="WWNum17">
    <w:name w:val="WWNum17"/>
    <w:basedOn w:val="Bezpopisa"/>
    <w:pPr>
      <w:numPr>
        <w:numId w:val="17"/>
      </w:numPr>
    </w:pPr>
  </w:style>
  <w:style w:type="numbering" w:customStyle="1" w:styleId="WWNum18">
    <w:name w:val="WWNum18"/>
    <w:basedOn w:val="Bezpopisa"/>
    <w:pPr>
      <w:numPr>
        <w:numId w:val="18"/>
      </w:numPr>
    </w:pPr>
  </w:style>
  <w:style w:type="numbering" w:customStyle="1" w:styleId="WWNum19">
    <w:name w:val="WWNum19"/>
    <w:basedOn w:val="Bezpopisa"/>
    <w:pPr>
      <w:numPr>
        <w:numId w:val="19"/>
      </w:numPr>
    </w:pPr>
  </w:style>
  <w:style w:type="numbering" w:customStyle="1" w:styleId="WWNum20">
    <w:name w:val="WWNum20"/>
    <w:basedOn w:val="Bezpopisa"/>
    <w:pPr>
      <w:numPr>
        <w:numId w:val="20"/>
      </w:numPr>
    </w:pPr>
  </w:style>
  <w:style w:type="numbering" w:customStyle="1" w:styleId="WWNum21">
    <w:name w:val="WWNum21"/>
    <w:basedOn w:val="Bezpopisa"/>
    <w:pPr>
      <w:numPr>
        <w:numId w:val="21"/>
      </w:numPr>
    </w:pPr>
  </w:style>
  <w:style w:type="numbering" w:customStyle="1" w:styleId="WWNum22">
    <w:name w:val="WWNum22"/>
    <w:basedOn w:val="Bezpopisa"/>
    <w:pPr>
      <w:numPr>
        <w:numId w:val="22"/>
      </w:numPr>
    </w:pPr>
  </w:style>
  <w:style w:type="numbering" w:customStyle="1" w:styleId="WWNum23">
    <w:name w:val="WWNum23"/>
    <w:basedOn w:val="Bezpopisa"/>
    <w:pPr>
      <w:numPr>
        <w:numId w:val="23"/>
      </w:numPr>
    </w:pPr>
  </w:style>
  <w:style w:type="numbering" w:customStyle="1" w:styleId="WWNum24">
    <w:name w:val="WWNum24"/>
    <w:basedOn w:val="Bezpopisa"/>
    <w:pPr>
      <w:numPr>
        <w:numId w:val="24"/>
      </w:numPr>
    </w:pPr>
  </w:style>
  <w:style w:type="numbering" w:customStyle="1" w:styleId="WWNum25">
    <w:name w:val="WWNum25"/>
    <w:basedOn w:val="Bezpopisa"/>
    <w:pPr>
      <w:numPr>
        <w:numId w:val="25"/>
      </w:numPr>
    </w:pPr>
  </w:style>
  <w:style w:type="numbering" w:customStyle="1" w:styleId="WWNum26">
    <w:name w:val="WWNum26"/>
    <w:basedOn w:val="Bezpopisa"/>
    <w:pPr>
      <w:numPr>
        <w:numId w:val="26"/>
      </w:numPr>
    </w:pPr>
  </w:style>
  <w:style w:type="numbering" w:customStyle="1" w:styleId="WWNum27">
    <w:name w:val="WWNum27"/>
    <w:basedOn w:val="Bezpopisa"/>
    <w:pPr>
      <w:numPr>
        <w:numId w:val="27"/>
      </w:numPr>
    </w:pPr>
  </w:style>
  <w:style w:type="numbering" w:customStyle="1" w:styleId="WWNum28">
    <w:name w:val="WWNum28"/>
    <w:basedOn w:val="Bezpopisa"/>
    <w:pPr>
      <w:numPr>
        <w:numId w:val="28"/>
      </w:numPr>
    </w:pPr>
  </w:style>
  <w:style w:type="numbering" w:customStyle="1" w:styleId="WWNum29">
    <w:name w:val="WWNum29"/>
    <w:basedOn w:val="Bezpopisa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2124</Words>
  <Characters>12110</Characters>
  <Application>Microsoft Office Word</Application>
  <DocSecurity>0</DocSecurity>
  <Lines>100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Šobak</dc:creator>
  <cp:lastModifiedBy>Nikolina Cvek</cp:lastModifiedBy>
  <cp:revision>2</cp:revision>
  <cp:lastPrinted>2018-04-03T08:12:00Z</cp:lastPrinted>
  <dcterms:created xsi:type="dcterms:W3CDTF">2018-04-05T06:06:00Z</dcterms:created>
  <dcterms:modified xsi:type="dcterms:W3CDTF">2018-04-05T06:06:00Z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